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1024" w14:textId="08071DD1" w:rsidR="00624052" w:rsidRPr="002809DD" w:rsidRDefault="00247D8B">
      <w:pPr>
        <w:pStyle w:val="BodyText"/>
        <w:spacing w:before="4"/>
        <w:ind w:left="0"/>
        <w:rPr>
          <w:rFonts w:asciiTheme="minorHAnsi" w:hAnsiTheme="minorHAnsi" w:cstheme="minorHAnsi"/>
          <w:sz w:val="9"/>
        </w:rPr>
      </w:pPr>
      <w:r w:rsidRPr="002809DD">
        <w:rPr>
          <w:noProof/>
        </w:rPr>
        <w:drawing>
          <wp:anchor distT="0" distB="0" distL="0" distR="0" simplePos="0" relativeHeight="251658752" behindDoc="0" locked="0" layoutInCell="1" allowOverlap="1" wp14:anchorId="039BF596" wp14:editId="49B347AC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1555115" cy="552450"/>
            <wp:effectExtent l="0" t="0" r="6985" b="0"/>
            <wp:wrapTopAndBottom/>
            <wp:docPr id="1" name="image2.png" descr="Afbeelding met tekst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Afbeelding met tekst, teken&#10;&#10;Automatisch gegenereerde beschrijvi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2B87C" w14:textId="7DDFA698" w:rsidR="00247D8B" w:rsidRDefault="00247D8B" w:rsidP="00AD5F9C">
      <w:pPr>
        <w:pStyle w:val="Title"/>
      </w:pPr>
    </w:p>
    <w:p w14:paraId="681D2928" w14:textId="77777777" w:rsidR="00247D8B" w:rsidRPr="00247D8B" w:rsidRDefault="00247D8B" w:rsidP="00247D8B"/>
    <w:p w14:paraId="5E1C39F1" w14:textId="6B35614D" w:rsidR="00624052" w:rsidRPr="00AD5F9C" w:rsidRDefault="003C340D" w:rsidP="00AD5F9C">
      <w:pPr>
        <w:pStyle w:val="Title"/>
        <w:rPr>
          <w:spacing w:val="-4"/>
        </w:rPr>
      </w:pPr>
      <w:r w:rsidRPr="00AD5F9C">
        <w:t>COST Action CA21143 “Transnational Family Dynamics in Europe”</w:t>
      </w:r>
      <w:r w:rsidRPr="00AD5F9C">
        <w:br/>
      </w:r>
      <w:r w:rsidR="00A02B02" w:rsidRPr="00A02B02">
        <w:rPr>
          <w:lang w:val="en-GB"/>
        </w:rPr>
        <w:t xml:space="preserve">DISSEMINATION </w:t>
      </w:r>
      <w:r w:rsidR="00525F63" w:rsidRPr="00525F63">
        <w:rPr>
          <w:lang w:val="en-GB"/>
        </w:rPr>
        <w:t>CONFERENCE</w:t>
      </w:r>
      <w:r w:rsidR="00AC25FE">
        <w:rPr>
          <w:lang w:val="en-GB"/>
        </w:rPr>
        <w:t xml:space="preserve"> GRANTS</w:t>
      </w:r>
      <w:r w:rsidR="00AC25FE" w:rsidRPr="00525F63">
        <w:rPr>
          <w:lang w:val="en-GB"/>
        </w:rPr>
        <w:t xml:space="preserve"> </w:t>
      </w:r>
      <w:r w:rsidR="00525F63">
        <w:t>–</w:t>
      </w:r>
      <w:r w:rsidRPr="00AD5F9C">
        <w:rPr>
          <w:spacing w:val="-8"/>
        </w:rPr>
        <w:t xml:space="preserve"> </w:t>
      </w:r>
      <w:r w:rsidRPr="00AD5F9C">
        <w:t>CALL</w:t>
      </w:r>
      <w:r w:rsidRPr="00AD5F9C">
        <w:rPr>
          <w:spacing w:val="-8"/>
        </w:rPr>
        <w:t xml:space="preserve"> </w:t>
      </w:r>
      <w:r w:rsidRPr="00AD5F9C">
        <w:t>FOR</w:t>
      </w:r>
      <w:r w:rsidRPr="00AD5F9C">
        <w:rPr>
          <w:spacing w:val="-7"/>
        </w:rPr>
        <w:t xml:space="preserve"> </w:t>
      </w:r>
      <w:r w:rsidRPr="00AD5F9C">
        <w:t>APPLICATIONS</w:t>
      </w:r>
      <w:r w:rsidRPr="00AD5F9C">
        <w:rPr>
          <w:spacing w:val="-6"/>
        </w:rPr>
        <w:t xml:space="preserve"> </w:t>
      </w:r>
      <w:r w:rsidRPr="00AD5F9C">
        <w:rPr>
          <w:spacing w:val="-4"/>
        </w:rPr>
        <w:t xml:space="preserve">2022 </w:t>
      </w:r>
      <w:r w:rsidR="009719AE" w:rsidRPr="00AD5F9C">
        <w:rPr>
          <w:spacing w:val="-4"/>
        </w:rPr>
        <w:t>–</w:t>
      </w:r>
      <w:r w:rsidRPr="00AD5F9C">
        <w:rPr>
          <w:spacing w:val="-4"/>
        </w:rPr>
        <w:t xml:space="preserve"> 2023</w:t>
      </w:r>
    </w:p>
    <w:p w14:paraId="66BD611A" w14:textId="18CF3031" w:rsidR="009719AE" w:rsidRDefault="009719AE" w:rsidP="009719AE"/>
    <w:p w14:paraId="0A431A69" w14:textId="3BA040BE" w:rsidR="009719AE" w:rsidRPr="009719AE" w:rsidRDefault="009719AE" w:rsidP="009719AE">
      <w:pPr>
        <w:rPr>
          <w:sz w:val="18"/>
          <w:szCs w:val="18"/>
        </w:rPr>
      </w:pPr>
      <w:r>
        <w:rPr>
          <w:sz w:val="18"/>
          <w:szCs w:val="18"/>
        </w:rPr>
        <w:t>T</w:t>
      </w:r>
      <w:r w:rsidRPr="009719AE">
        <w:rPr>
          <w:sz w:val="18"/>
          <w:szCs w:val="18"/>
        </w:rPr>
        <w:t xml:space="preserve">erms and abbreviations used in this document: Check the full list </w:t>
      </w:r>
      <w:hyperlink r:id="rId9" w:history="1">
        <w:r w:rsidRPr="009719AE">
          <w:rPr>
            <w:rStyle w:val="Hyperlink"/>
            <w:rFonts w:asciiTheme="minorHAnsi" w:hAnsiTheme="minorHAnsi" w:cstheme="minorHAnsi"/>
            <w:sz w:val="18"/>
            <w:szCs w:val="18"/>
          </w:rPr>
          <w:t>here</w:t>
        </w:r>
      </w:hyperlink>
      <w:r w:rsidRPr="009719AE">
        <w:rPr>
          <w:sz w:val="18"/>
          <w:szCs w:val="18"/>
        </w:rPr>
        <w:t xml:space="preserve"> </w:t>
      </w:r>
      <w:r>
        <w:rPr>
          <w:sz w:val="18"/>
          <w:szCs w:val="18"/>
        </w:rPr>
        <w:t>(including</w:t>
      </w:r>
      <w:r w:rsidRPr="009719AE">
        <w:rPr>
          <w:sz w:val="18"/>
          <w:szCs w:val="18"/>
        </w:rPr>
        <w:t xml:space="preserve"> definitions</w:t>
      </w:r>
      <w:r>
        <w:rPr>
          <w:sz w:val="18"/>
          <w:szCs w:val="18"/>
        </w:rPr>
        <w:t>)</w:t>
      </w:r>
    </w:p>
    <w:p w14:paraId="33137A39" w14:textId="77777777" w:rsidR="009719AE" w:rsidRPr="009719AE" w:rsidRDefault="009719AE" w:rsidP="009719AE"/>
    <w:p w14:paraId="22ED6075" w14:textId="62D22105" w:rsidR="0093046A" w:rsidRPr="002809DD" w:rsidRDefault="00514636" w:rsidP="0093046A">
      <w:pPr>
        <w:rPr>
          <w:rFonts w:asciiTheme="minorHAnsi" w:hAnsiTheme="minorHAnsi" w:cstheme="minorHAnsi"/>
          <w:lang w:val="en-GB"/>
        </w:rPr>
      </w:pPr>
      <w:r w:rsidRPr="002809DD">
        <w:rPr>
          <w:rFonts w:asciiTheme="minorHAnsi" w:hAnsiTheme="minorHAnsi" w:cstheme="minorHAnsi"/>
        </w:rPr>
        <w:t xml:space="preserve">The </w:t>
      </w:r>
      <w:r w:rsidRPr="002809DD">
        <w:rPr>
          <w:rFonts w:asciiTheme="minorHAnsi" w:hAnsiTheme="minorHAnsi" w:cstheme="minorHAnsi"/>
          <w:b/>
        </w:rPr>
        <w:t xml:space="preserve">COST Action </w:t>
      </w:r>
      <w:bookmarkStart w:id="0" w:name="_Hlk121236607"/>
      <w:r w:rsidR="003C340D" w:rsidRPr="002809DD">
        <w:rPr>
          <w:rFonts w:asciiTheme="minorHAnsi" w:hAnsiTheme="minorHAnsi" w:cstheme="minorHAnsi"/>
        </w:rPr>
        <w:t>CA21143</w:t>
      </w:r>
      <w:r w:rsidRPr="002809DD">
        <w:rPr>
          <w:rFonts w:asciiTheme="minorHAnsi" w:hAnsiTheme="minorHAnsi" w:cstheme="minorHAnsi"/>
          <w:spacing w:val="-4"/>
        </w:rPr>
        <w:t xml:space="preserve"> </w:t>
      </w:r>
      <w:r w:rsidRPr="002809DD">
        <w:rPr>
          <w:rFonts w:asciiTheme="minorHAnsi" w:hAnsiTheme="minorHAnsi" w:cstheme="minorHAnsi"/>
        </w:rPr>
        <w:t>“</w:t>
      </w:r>
      <w:r w:rsidR="003C340D" w:rsidRPr="002809DD">
        <w:rPr>
          <w:rFonts w:asciiTheme="minorHAnsi" w:hAnsiTheme="minorHAnsi" w:cstheme="minorHAnsi"/>
        </w:rPr>
        <w:t>Transnational Family Dynamics in Europe</w:t>
      </w:r>
      <w:r w:rsidRPr="002809DD">
        <w:rPr>
          <w:rFonts w:asciiTheme="minorHAnsi" w:hAnsiTheme="minorHAnsi" w:cstheme="minorHAnsi"/>
        </w:rPr>
        <w:t>”</w:t>
      </w:r>
      <w:bookmarkEnd w:id="0"/>
      <w:r w:rsidRPr="002809DD">
        <w:rPr>
          <w:rFonts w:asciiTheme="minorHAnsi" w:hAnsiTheme="minorHAnsi" w:cstheme="minorHAnsi"/>
          <w:spacing w:val="-4"/>
        </w:rPr>
        <w:t xml:space="preserve"> </w:t>
      </w:r>
      <w:r w:rsidRPr="002809DD">
        <w:rPr>
          <w:rFonts w:asciiTheme="minorHAnsi" w:hAnsiTheme="minorHAnsi" w:cstheme="minorHAnsi"/>
        </w:rPr>
        <w:t>(“</w:t>
      </w:r>
      <w:proofErr w:type="spellStart"/>
      <w:r w:rsidR="003C340D" w:rsidRPr="002809DD">
        <w:rPr>
          <w:rFonts w:asciiTheme="minorHAnsi" w:hAnsiTheme="minorHAnsi" w:cstheme="minorHAnsi"/>
        </w:rPr>
        <w:t>T</w:t>
      </w:r>
      <w:r w:rsidR="001529D5">
        <w:rPr>
          <w:rFonts w:asciiTheme="minorHAnsi" w:hAnsiTheme="minorHAnsi" w:cstheme="minorHAnsi"/>
        </w:rPr>
        <w:t>ra</w:t>
      </w:r>
      <w:r w:rsidR="003C340D" w:rsidRPr="002809DD">
        <w:rPr>
          <w:rFonts w:asciiTheme="minorHAnsi" w:hAnsiTheme="minorHAnsi" w:cstheme="minorHAnsi"/>
        </w:rPr>
        <w:t>F</w:t>
      </w:r>
      <w:r w:rsidR="001529D5">
        <w:rPr>
          <w:rFonts w:asciiTheme="minorHAnsi" w:hAnsiTheme="minorHAnsi" w:cstheme="minorHAnsi"/>
        </w:rPr>
        <w:t>a</w:t>
      </w:r>
      <w:bookmarkStart w:id="1" w:name="_GoBack"/>
      <w:bookmarkEnd w:id="1"/>
      <w:r w:rsidR="003C340D" w:rsidRPr="002809DD">
        <w:rPr>
          <w:rFonts w:asciiTheme="minorHAnsi" w:hAnsiTheme="minorHAnsi" w:cstheme="minorHAnsi"/>
        </w:rPr>
        <w:t>D</w:t>
      </w:r>
      <w:r w:rsidR="00E524FD">
        <w:rPr>
          <w:rFonts w:asciiTheme="minorHAnsi" w:hAnsiTheme="minorHAnsi" w:cstheme="minorHAnsi"/>
        </w:rPr>
        <w:t>y</w:t>
      </w:r>
      <w:proofErr w:type="spellEnd"/>
      <w:r w:rsidRPr="002809DD">
        <w:rPr>
          <w:rFonts w:asciiTheme="minorHAnsi" w:hAnsiTheme="minorHAnsi" w:cstheme="minorHAnsi"/>
        </w:rPr>
        <w:t xml:space="preserve">”) </w:t>
      </w:r>
      <w:r w:rsidR="0093046A" w:rsidRPr="002809DD">
        <w:rPr>
          <w:rFonts w:asciiTheme="minorHAnsi" w:hAnsiTheme="minorHAnsi" w:cstheme="minorHAnsi"/>
          <w:lang w:val="en-GB"/>
        </w:rPr>
        <w:t xml:space="preserve">objective is to deepen and broaden the scientific understanding of transnational families through international and multidisciplinary knowledge exchange, enable further multidisciplinary approaches and stimulate innovation in research, </w:t>
      </w:r>
      <w:r w:rsidR="0093046A" w:rsidRPr="002809DD">
        <w:rPr>
          <w:rFonts w:asciiTheme="minorHAnsi" w:hAnsiTheme="minorHAnsi" w:cstheme="minorHAnsi"/>
        </w:rPr>
        <w:t>policy and practice.</w:t>
      </w:r>
    </w:p>
    <w:p w14:paraId="278486DC" w14:textId="08725824" w:rsidR="005E3629" w:rsidRDefault="0093046A" w:rsidP="00525F63">
      <w:pPr>
        <w:rPr>
          <w:rFonts w:asciiTheme="minorHAnsi" w:hAnsiTheme="minorHAnsi" w:cstheme="minorHAnsi"/>
        </w:rPr>
      </w:pPr>
      <w:r w:rsidRPr="002809DD">
        <w:rPr>
          <w:rFonts w:asciiTheme="minorHAnsi" w:hAnsiTheme="minorHAnsi" w:cstheme="minorHAnsi"/>
          <w:lang w:val="en-GB"/>
        </w:rPr>
        <w:t xml:space="preserve">As part of this aim, the Action </w:t>
      </w:r>
      <w:r w:rsidRPr="002809DD">
        <w:rPr>
          <w:rFonts w:asciiTheme="minorHAnsi" w:hAnsiTheme="minorHAnsi" w:cstheme="minorHAnsi"/>
        </w:rPr>
        <w:t>encourages</w:t>
      </w:r>
      <w:r w:rsidRPr="002809DD">
        <w:rPr>
          <w:rFonts w:asciiTheme="minorHAnsi" w:hAnsiTheme="minorHAnsi" w:cstheme="minorHAnsi"/>
          <w:spacing w:val="-2"/>
        </w:rPr>
        <w:t xml:space="preserve"> </w:t>
      </w:r>
      <w:r w:rsidRPr="002809DD">
        <w:rPr>
          <w:rFonts w:asciiTheme="minorHAnsi" w:hAnsiTheme="minorHAnsi" w:cstheme="minorHAnsi"/>
        </w:rPr>
        <w:t>and</w:t>
      </w:r>
      <w:r w:rsidRPr="002809DD">
        <w:rPr>
          <w:rFonts w:asciiTheme="minorHAnsi" w:hAnsiTheme="minorHAnsi" w:cstheme="minorHAnsi"/>
          <w:spacing w:val="-4"/>
        </w:rPr>
        <w:t xml:space="preserve"> </w:t>
      </w:r>
      <w:r w:rsidRPr="002809DD">
        <w:rPr>
          <w:rFonts w:asciiTheme="minorHAnsi" w:hAnsiTheme="minorHAnsi" w:cstheme="minorHAnsi"/>
        </w:rPr>
        <w:t>supports</w:t>
      </w:r>
      <w:r w:rsidRPr="002809DD">
        <w:rPr>
          <w:rFonts w:asciiTheme="minorHAnsi" w:hAnsiTheme="minorHAnsi" w:cstheme="minorHAnsi"/>
          <w:spacing w:val="-3"/>
        </w:rPr>
        <w:t xml:space="preserve"> </w:t>
      </w:r>
      <w:r w:rsidR="007B4D40" w:rsidRPr="007B4D40">
        <w:rPr>
          <w:rFonts w:asciiTheme="minorHAnsi" w:hAnsiTheme="minorHAnsi" w:cstheme="minorHAnsi"/>
          <w:b/>
          <w:bCs/>
        </w:rPr>
        <w:t>Dissemination Conference</w:t>
      </w:r>
      <w:r w:rsidR="009601C4" w:rsidRPr="009601C4">
        <w:rPr>
          <w:rFonts w:asciiTheme="minorHAnsi" w:hAnsiTheme="minorHAnsi" w:cstheme="minorHAnsi"/>
          <w:b/>
          <w:bCs/>
        </w:rPr>
        <w:t xml:space="preserve">s </w:t>
      </w:r>
      <w:r w:rsidR="00525F63" w:rsidRPr="00D90242">
        <w:rPr>
          <w:rFonts w:asciiTheme="minorHAnsi" w:hAnsiTheme="minorHAnsi" w:cstheme="minorHAnsi"/>
          <w:bCs/>
        </w:rPr>
        <w:t>(</w:t>
      </w:r>
      <w:r w:rsidR="00D90242" w:rsidRPr="00D90242">
        <w:rPr>
          <w:rFonts w:asciiTheme="minorHAnsi" w:hAnsiTheme="minorHAnsi" w:cstheme="minorHAnsi"/>
          <w:bCs/>
        </w:rPr>
        <w:t xml:space="preserve">in short: </w:t>
      </w:r>
      <w:r w:rsidR="007B4D40">
        <w:rPr>
          <w:rFonts w:asciiTheme="minorHAnsi" w:hAnsiTheme="minorHAnsi" w:cstheme="minorHAnsi"/>
          <w:bCs/>
        </w:rPr>
        <w:t>DC</w:t>
      </w:r>
      <w:r w:rsidRPr="00D90242">
        <w:rPr>
          <w:rFonts w:asciiTheme="minorHAnsi" w:hAnsiTheme="minorHAnsi" w:cstheme="minorHAnsi"/>
          <w:bCs/>
        </w:rPr>
        <w:t>).</w:t>
      </w:r>
      <w:r w:rsidRPr="002809DD">
        <w:rPr>
          <w:rFonts w:asciiTheme="minorHAnsi" w:hAnsiTheme="minorHAnsi" w:cstheme="minorHAnsi"/>
        </w:rPr>
        <w:t xml:space="preserve"> </w:t>
      </w:r>
      <w:r w:rsidR="005E3629" w:rsidRPr="005E3629">
        <w:rPr>
          <w:rFonts w:asciiTheme="minorHAnsi" w:hAnsiTheme="minorHAnsi" w:cstheme="minorHAnsi"/>
        </w:rPr>
        <w:t>Until 31</w:t>
      </w:r>
      <w:r w:rsidR="005E3629" w:rsidRPr="005E3629">
        <w:rPr>
          <w:rFonts w:asciiTheme="minorHAnsi" w:hAnsiTheme="minorHAnsi" w:cstheme="minorHAnsi"/>
          <w:vertAlign w:val="superscript"/>
        </w:rPr>
        <w:t>st</w:t>
      </w:r>
      <w:r w:rsidR="005E3629" w:rsidRPr="005E3629">
        <w:rPr>
          <w:rFonts w:asciiTheme="minorHAnsi" w:hAnsiTheme="minorHAnsi" w:cstheme="minorHAnsi"/>
        </w:rPr>
        <w:t xml:space="preserve"> October 2023, there are </w:t>
      </w:r>
      <w:r w:rsidR="00F8240C">
        <w:rPr>
          <w:rFonts w:asciiTheme="minorHAnsi" w:hAnsiTheme="minorHAnsi" w:cstheme="minorHAnsi"/>
        </w:rPr>
        <w:t>approx</w:t>
      </w:r>
      <w:r w:rsidR="00F8240C" w:rsidRPr="00F8240C">
        <w:rPr>
          <w:rFonts w:asciiTheme="minorHAnsi" w:hAnsiTheme="minorHAnsi" w:cstheme="minorHAnsi"/>
        </w:rPr>
        <w:t xml:space="preserve">. 2 </w:t>
      </w:r>
      <w:r w:rsidR="007B4D40" w:rsidRPr="00F8240C">
        <w:rPr>
          <w:rFonts w:asciiTheme="minorHAnsi" w:hAnsiTheme="minorHAnsi" w:cstheme="minorHAnsi"/>
        </w:rPr>
        <w:t>DC Grants (DCG)</w:t>
      </w:r>
      <w:r w:rsidR="005E3629" w:rsidRPr="00F8240C">
        <w:rPr>
          <w:rFonts w:asciiTheme="minorHAnsi" w:hAnsiTheme="minorHAnsi" w:cstheme="minorHAnsi"/>
        </w:rPr>
        <w:t xml:space="preserve"> to be</w:t>
      </w:r>
      <w:r w:rsidR="005E3629" w:rsidRPr="005E3629">
        <w:rPr>
          <w:rFonts w:asciiTheme="minorHAnsi" w:hAnsiTheme="minorHAnsi" w:cstheme="minorHAnsi"/>
        </w:rPr>
        <w:t xml:space="preserve"> awarded and conducted. Applicants are invited to apply for a</w:t>
      </w:r>
      <w:r w:rsidR="007B4D40">
        <w:rPr>
          <w:rFonts w:asciiTheme="minorHAnsi" w:hAnsiTheme="minorHAnsi" w:cstheme="minorHAnsi"/>
        </w:rPr>
        <w:t xml:space="preserve"> DCG </w:t>
      </w:r>
      <w:r w:rsidR="005E3629" w:rsidRPr="005E3629">
        <w:rPr>
          <w:rFonts w:asciiTheme="minorHAnsi" w:hAnsiTheme="minorHAnsi" w:cstheme="minorHAnsi"/>
          <w:b/>
        </w:rPr>
        <w:t xml:space="preserve">up </w:t>
      </w:r>
      <w:r w:rsidR="005E3629" w:rsidRPr="00897EFF">
        <w:rPr>
          <w:rFonts w:asciiTheme="minorHAnsi" w:hAnsiTheme="minorHAnsi" w:cstheme="minorHAnsi"/>
          <w:b/>
        </w:rPr>
        <w:t xml:space="preserve">to </w:t>
      </w:r>
      <w:r w:rsidR="00514636">
        <w:rPr>
          <w:rFonts w:asciiTheme="minorHAnsi" w:hAnsiTheme="minorHAnsi" w:cstheme="minorHAnsi"/>
          <w:b/>
        </w:rPr>
        <w:t>6</w:t>
      </w:r>
      <w:r w:rsidR="005E3629" w:rsidRPr="00897EFF">
        <w:rPr>
          <w:rFonts w:asciiTheme="minorHAnsi" w:hAnsiTheme="minorHAnsi" w:cstheme="minorHAnsi"/>
          <w:b/>
          <w:vertAlign w:val="superscript"/>
        </w:rPr>
        <w:t>st</w:t>
      </w:r>
      <w:r w:rsidR="005E3629" w:rsidRPr="00897EFF">
        <w:rPr>
          <w:rFonts w:asciiTheme="minorHAnsi" w:hAnsiTheme="minorHAnsi" w:cstheme="minorHAnsi"/>
          <w:b/>
        </w:rPr>
        <w:t xml:space="preserve"> </w:t>
      </w:r>
      <w:r w:rsidR="00514636">
        <w:rPr>
          <w:rFonts w:asciiTheme="minorHAnsi" w:hAnsiTheme="minorHAnsi" w:cstheme="minorHAnsi"/>
          <w:b/>
        </w:rPr>
        <w:t>January</w:t>
      </w:r>
      <w:r w:rsidR="005E3629" w:rsidRPr="00897EFF">
        <w:rPr>
          <w:rFonts w:asciiTheme="minorHAnsi" w:hAnsiTheme="minorHAnsi" w:cstheme="minorHAnsi"/>
          <w:b/>
        </w:rPr>
        <w:t xml:space="preserve"> 202</w:t>
      </w:r>
      <w:r w:rsidR="00514636">
        <w:rPr>
          <w:rFonts w:asciiTheme="minorHAnsi" w:hAnsiTheme="minorHAnsi" w:cstheme="minorHAnsi"/>
          <w:b/>
        </w:rPr>
        <w:t>3.</w:t>
      </w:r>
    </w:p>
    <w:p w14:paraId="1D800828" w14:textId="77777777" w:rsidR="005E3629" w:rsidRDefault="005E3629" w:rsidP="00525F63">
      <w:pPr>
        <w:rPr>
          <w:rFonts w:asciiTheme="minorHAnsi" w:hAnsiTheme="minorHAnsi" w:cstheme="minorHAnsi"/>
        </w:rPr>
      </w:pPr>
    </w:p>
    <w:p w14:paraId="2ED4F157" w14:textId="515DC8F2" w:rsidR="005E3629" w:rsidRDefault="005E3629" w:rsidP="005E3629">
      <w:pPr>
        <w:pStyle w:val="Heading6"/>
      </w:pPr>
      <w:r>
        <w:t xml:space="preserve">WHAT IS AN </w:t>
      </w:r>
      <w:r w:rsidR="007B4D40">
        <w:t>DC</w:t>
      </w:r>
      <w:r>
        <w:t>?</w:t>
      </w:r>
    </w:p>
    <w:p w14:paraId="16AF64C9" w14:textId="77777777" w:rsidR="007B4D40" w:rsidRPr="007B4D40" w:rsidRDefault="007B4D40" w:rsidP="007B4D40">
      <w:pPr>
        <w:rPr>
          <w:rFonts w:asciiTheme="minorHAnsi" w:hAnsiTheme="minorHAnsi" w:cstheme="minorHAnsi"/>
        </w:rPr>
      </w:pPr>
      <w:r w:rsidRPr="007B4D40">
        <w:rPr>
          <w:rFonts w:asciiTheme="minorHAnsi" w:hAnsiTheme="minorHAnsi" w:cstheme="minorHAnsi"/>
        </w:rPr>
        <w:t>Dissemination Conference consists in a presentation of the work of the Action in high-level conferences by an Action participant. Dissemination Conference:</w:t>
      </w:r>
    </w:p>
    <w:p w14:paraId="61BA22E6" w14:textId="14EF47EC" w:rsidR="007B4D40" w:rsidRPr="007B4D40" w:rsidRDefault="007B4D40" w:rsidP="007B4D4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7B4D40">
        <w:rPr>
          <w:rFonts w:asciiTheme="minorHAnsi" w:hAnsiTheme="minorHAnsi" w:cstheme="minorHAnsi"/>
        </w:rPr>
        <w:t>Significantly increase visibility of the Action in the research community, can contribute to increasing visibility of the presenter;</w:t>
      </w:r>
    </w:p>
    <w:p w14:paraId="3CD9AE04" w14:textId="74B12AB0" w:rsidR="007B4D40" w:rsidRPr="007B4D40" w:rsidRDefault="007B4D40" w:rsidP="007B4D4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7B4D40">
        <w:rPr>
          <w:rFonts w:asciiTheme="minorHAnsi" w:hAnsiTheme="minorHAnsi" w:cstheme="minorHAnsi"/>
        </w:rPr>
        <w:t>Attract additional participants and stakeholders and disseminate Action results to relevant end-users at high profile Conferences in the field on a topic relevant to the Action.</w:t>
      </w:r>
    </w:p>
    <w:p w14:paraId="05F5AED7" w14:textId="77777777" w:rsidR="007B4D40" w:rsidRPr="007B4D40" w:rsidRDefault="007B4D40" w:rsidP="007B4D40">
      <w:pPr>
        <w:rPr>
          <w:rFonts w:asciiTheme="minorHAnsi" w:hAnsiTheme="minorHAnsi" w:cstheme="minorHAnsi"/>
        </w:rPr>
      </w:pPr>
      <w:r w:rsidRPr="007B4D40">
        <w:rPr>
          <w:rFonts w:asciiTheme="minorHAnsi" w:hAnsiTheme="minorHAnsi" w:cstheme="minorHAnsi"/>
        </w:rPr>
        <w:t>Dissemination Conference benefit to:</w:t>
      </w:r>
    </w:p>
    <w:p w14:paraId="3D412A59" w14:textId="03EE5206" w:rsidR="007B4D40" w:rsidRPr="007B4D40" w:rsidRDefault="007B4D40" w:rsidP="007B4D4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7B4D40">
        <w:rPr>
          <w:rFonts w:asciiTheme="minorHAnsi" w:hAnsiTheme="minorHAnsi" w:cstheme="minorHAnsi"/>
        </w:rPr>
        <w:t>Dissemination Conference Grantee: receives support for attending and presenting the Action, their activities, and results (oral presentation) at a conference and/or for developing new contacts and potential future collaborations;</w:t>
      </w:r>
    </w:p>
    <w:p w14:paraId="56EEAEBC" w14:textId="49D607F4" w:rsidR="007B4D40" w:rsidRPr="007B4D40" w:rsidRDefault="007B4D40" w:rsidP="007B4D4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7B4D40">
        <w:rPr>
          <w:rFonts w:asciiTheme="minorHAnsi" w:hAnsiTheme="minorHAnsi" w:cstheme="minorHAnsi"/>
        </w:rPr>
        <w:t>COST Action: receives increased visibility and awareness, new contacts with potential stakeholders.</w:t>
      </w:r>
    </w:p>
    <w:p w14:paraId="13A37D04" w14:textId="77777777" w:rsidR="007B4D40" w:rsidRDefault="007B4D40" w:rsidP="00525F63">
      <w:pPr>
        <w:rPr>
          <w:rFonts w:asciiTheme="minorHAnsi" w:hAnsiTheme="minorHAnsi" w:cstheme="minorHAnsi"/>
        </w:rPr>
      </w:pPr>
      <w:r w:rsidRPr="007B4D40">
        <w:rPr>
          <w:rFonts w:asciiTheme="minorHAnsi" w:hAnsiTheme="minorHAnsi" w:cstheme="minorHAnsi"/>
        </w:rPr>
        <w:t>Conferences can be face-to-face or virtual conferences.</w:t>
      </w:r>
    </w:p>
    <w:p w14:paraId="03B5F405" w14:textId="46931543" w:rsidR="00624052" w:rsidRPr="00525F63" w:rsidRDefault="00525F63" w:rsidP="00525F6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ITC Conference </w:t>
      </w:r>
      <w:r w:rsidR="0093046A" w:rsidRPr="00525F63">
        <w:rPr>
          <w:rFonts w:asciiTheme="minorHAnsi" w:hAnsiTheme="minorHAnsi" w:cstheme="minorHAnsi"/>
        </w:rPr>
        <w:t xml:space="preserve">contribute to the scientific objectives of the COST Action </w:t>
      </w:r>
      <w:r w:rsidR="003C340D" w:rsidRPr="00525F63">
        <w:rPr>
          <w:rFonts w:asciiTheme="minorHAnsi" w:hAnsiTheme="minorHAnsi" w:cstheme="minorHAnsi"/>
        </w:rPr>
        <w:t>CA21143</w:t>
      </w:r>
      <w:r w:rsidR="0093046A" w:rsidRPr="00525F63">
        <w:rPr>
          <w:rFonts w:asciiTheme="minorHAnsi" w:hAnsiTheme="minorHAnsi" w:cstheme="minorHAnsi"/>
        </w:rPr>
        <w:t>.</w:t>
      </w:r>
    </w:p>
    <w:p w14:paraId="765F0CCD" w14:textId="42B346A2" w:rsidR="00624052" w:rsidRPr="002809DD" w:rsidRDefault="00B00B63" w:rsidP="009304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N</w:t>
      </w:r>
      <w:r w:rsidRPr="002809DD">
        <w:rPr>
          <w:rFonts w:asciiTheme="minorHAnsi" w:hAnsiTheme="minorHAnsi" w:cstheme="minorHAnsi"/>
        </w:rPr>
        <w:t>ote</w:t>
      </w:r>
      <w:r w:rsidRPr="002809DD">
        <w:rPr>
          <w:rFonts w:asciiTheme="minorHAnsi" w:hAnsiTheme="minorHAnsi" w:cstheme="minorHAnsi"/>
          <w:spacing w:val="-3"/>
        </w:rPr>
        <w:t xml:space="preserve"> </w:t>
      </w:r>
      <w:r w:rsidRPr="002809DD">
        <w:rPr>
          <w:rFonts w:asciiTheme="minorHAnsi" w:hAnsiTheme="minorHAnsi" w:cstheme="minorHAnsi"/>
        </w:rPr>
        <w:t>that</w:t>
      </w:r>
      <w:r w:rsidRPr="002809DD">
        <w:rPr>
          <w:rFonts w:asciiTheme="minorHAnsi" w:hAnsiTheme="minorHAnsi" w:cstheme="minorHAnsi"/>
          <w:spacing w:val="-3"/>
        </w:rPr>
        <w:t xml:space="preserve"> </w:t>
      </w:r>
      <w:r w:rsidRPr="002809DD">
        <w:rPr>
          <w:rFonts w:asciiTheme="minorHAnsi" w:hAnsiTheme="minorHAnsi" w:cstheme="minorHAnsi"/>
        </w:rPr>
        <w:t>all</w:t>
      </w:r>
      <w:r w:rsidRPr="002809DD">
        <w:rPr>
          <w:rFonts w:asciiTheme="minorHAnsi" w:hAnsiTheme="minorHAnsi" w:cstheme="minorHAnsi"/>
          <w:spacing w:val="-4"/>
        </w:rPr>
        <w:t xml:space="preserve"> </w:t>
      </w:r>
      <w:r w:rsidR="00525F63">
        <w:rPr>
          <w:rFonts w:asciiTheme="minorHAnsi" w:hAnsiTheme="minorHAnsi" w:cstheme="minorHAnsi"/>
        </w:rPr>
        <w:t>ITC</w:t>
      </w:r>
      <w:r w:rsidR="00AC25FE">
        <w:rPr>
          <w:rFonts w:asciiTheme="minorHAnsi" w:hAnsiTheme="minorHAnsi" w:cstheme="minorHAnsi"/>
        </w:rPr>
        <w:t xml:space="preserve"> Grant</w:t>
      </w:r>
      <w:r w:rsidRPr="002809DD">
        <w:rPr>
          <w:rFonts w:asciiTheme="minorHAnsi" w:hAnsiTheme="minorHAnsi" w:cstheme="minorHAnsi"/>
        </w:rPr>
        <w:t>s</w:t>
      </w:r>
      <w:r w:rsidRPr="002809DD">
        <w:rPr>
          <w:rFonts w:asciiTheme="minorHAnsi" w:hAnsiTheme="minorHAnsi" w:cstheme="minorHAnsi"/>
          <w:spacing w:val="-6"/>
        </w:rPr>
        <w:t xml:space="preserve"> </w:t>
      </w:r>
      <w:r w:rsidRPr="002809DD">
        <w:rPr>
          <w:rFonts w:asciiTheme="minorHAnsi" w:hAnsiTheme="minorHAnsi" w:cstheme="minorHAnsi"/>
        </w:rPr>
        <w:t>must</w:t>
      </w:r>
      <w:r w:rsidRPr="002809DD">
        <w:rPr>
          <w:rFonts w:asciiTheme="minorHAnsi" w:hAnsiTheme="minorHAnsi" w:cstheme="minorHAnsi"/>
          <w:spacing w:val="-3"/>
        </w:rPr>
        <w:t xml:space="preserve"> </w:t>
      </w:r>
      <w:r w:rsidRPr="002809DD">
        <w:rPr>
          <w:rFonts w:asciiTheme="minorHAnsi" w:hAnsiTheme="minorHAnsi" w:cstheme="minorHAnsi"/>
        </w:rPr>
        <w:t>be</w:t>
      </w:r>
      <w:r w:rsidRPr="002809DD">
        <w:rPr>
          <w:rFonts w:asciiTheme="minorHAnsi" w:hAnsiTheme="minorHAnsi" w:cstheme="minorHAnsi"/>
          <w:spacing w:val="-3"/>
        </w:rPr>
        <w:t xml:space="preserve"> </w:t>
      </w:r>
      <w:r w:rsidRPr="002809DD">
        <w:rPr>
          <w:rFonts w:asciiTheme="minorHAnsi" w:hAnsiTheme="minorHAnsi" w:cstheme="minorHAnsi"/>
        </w:rPr>
        <w:t>in</w:t>
      </w:r>
      <w:r w:rsidRPr="002809DD">
        <w:rPr>
          <w:rFonts w:asciiTheme="minorHAnsi" w:hAnsiTheme="minorHAnsi" w:cstheme="minorHAnsi"/>
          <w:spacing w:val="-4"/>
        </w:rPr>
        <w:t xml:space="preserve"> </w:t>
      </w:r>
      <w:r w:rsidRPr="002809DD">
        <w:rPr>
          <w:rFonts w:asciiTheme="minorHAnsi" w:hAnsiTheme="minorHAnsi" w:cstheme="minorHAnsi"/>
        </w:rPr>
        <w:t>line</w:t>
      </w:r>
      <w:r w:rsidRPr="002809DD">
        <w:rPr>
          <w:rFonts w:asciiTheme="minorHAnsi" w:hAnsiTheme="minorHAnsi" w:cstheme="minorHAnsi"/>
          <w:spacing w:val="-5"/>
        </w:rPr>
        <w:t xml:space="preserve"> </w:t>
      </w:r>
      <w:r w:rsidRPr="002809DD">
        <w:rPr>
          <w:rFonts w:asciiTheme="minorHAnsi" w:hAnsiTheme="minorHAnsi" w:cstheme="minorHAnsi"/>
        </w:rPr>
        <w:t xml:space="preserve">with the general COST Action </w:t>
      </w:r>
      <w:r w:rsidR="003C340D" w:rsidRPr="002809DD">
        <w:rPr>
          <w:rFonts w:asciiTheme="minorHAnsi" w:hAnsiTheme="minorHAnsi" w:cstheme="minorHAnsi"/>
        </w:rPr>
        <w:t>CA21143</w:t>
      </w:r>
      <w:r w:rsidRPr="002809DD">
        <w:rPr>
          <w:rFonts w:asciiTheme="minorHAnsi" w:hAnsiTheme="minorHAnsi" w:cstheme="minorHAnsi"/>
        </w:rPr>
        <w:t xml:space="preserve"> goals and objectives (</w:t>
      </w:r>
      <w:hyperlink r:id="rId10">
        <w:r w:rsidRPr="002809DD">
          <w:rPr>
            <w:rFonts w:asciiTheme="minorHAnsi" w:hAnsiTheme="minorHAnsi" w:cstheme="minorHAnsi"/>
            <w:color w:val="0462C1"/>
            <w:u w:val="single" w:color="0462C1"/>
          </w:rPr>
          <w:t>https://www.cost.eu/actions/</w:t>
        </w:r>
        <w:r w:rsidR="003C340D" w:rsidRPr="002809DD">
          <w:rPr>
            <w:rFonts w:asciiTheme="minorHAnsi" w:hAnsiTheme="minorHAnsi" w:cstheme="minorHAnsi"/>
            <w:color w:val="0462C1"/>
            <w:u w:val="single" w:color="0462C1"/>
          </w:rPr>
          <w:t>CA21143</w:t>
        </w:r>
        <w:r w:rsidRPr="002809DD">
          <w:rPr>
            <w:rFonts w:asciiTheme="minorHAnsi" w:hAnsiTheme="minorHAnsi" w:cstheme="minorHAnsi"/>
            <w:color w:val="0462C1"/>
            <w:u w:val="single" w:color="0462C1"/>
          </w:rPr>
          <w:t>/</w:t>
        </w:r>
      </w:hyperlink>
      <w:r w:rsidRPr="002809DD">
        <w:rPr>
          <w:rFonts w:asciiTheme="minorHAnsi" w:hAnsiTheme="minorHAnsi" w:cstheme="minorHAnsi"/>
        </w:rPr>
        <w:t>).</w:t>
      </w:r>
    </w:p>
    <w:p w14:paraId="29CBF427" w14:textId="2A0C7687" w:rsidR="00624052" w:rsidRPr="002809DD" w:rsidRDefault="00514636" w:rsidP="002809DD">
      <w:r w:rsidRPr="002809DD">
        <w:t>To</w:t>
      </w:r>
      <w:r w:rsidRPr="002809DD">
        <w:rPr>
          <w:spacing w:val="-8"/>
        </w:rPr>
        <w:t xml:space="preserve"> </w:t>
      </w:r>
      <w:r w:rsidRPr="002809DD">
        <w:t>learn about aims of</w:t>
      </w:r>
      <w:r w:rsidRPr="002809DD">
        <w:rPr>
          <w:spacing w:val="-1"/>
        </w:rPr>
        <w:t xml:space="preserve"> </w:t>
      </w:r>
      <w:r w:rsidRPr="002809DD">
        <w:t>COST Action</w:t>
      </w:r>
      <w:r w:rsidRPr="002809DD">
        <w:rPr>
          <w:spacing w:val="-2"/>
        </w:rPr>
        <w:t xml:space="preserve"> </w:t>
      </w:r>
      <w:r w:rsidR="003C340D" w:rsidRPr="002809DD">
        <w:t>CA21143</w:t>
      </w:r>
      <w:r w:rsidRPr="002809DD">
        <w:t>, please look at</w:t>
      </w:r>
      <w:r w:rsidRPr="002809DD">
        <w:rPr>
          <w:spacing w:val="-1"/>
        </w:rPr>
        <w:t xml:space="preserve"> </w:t>
      </w:r>
      <w:r w:rsidRPr="002809DD">
        <w:t xml:space="preserve">Memorandum of Understanding (MoU) available on the COST website: </w:t>
      </w:r>
      <w:hyperlink r:id="rId11">
        <w:r w:rsidRPr="00AC25FE">
          <w:rPr>
            <w:color w:val="0462C1"/>
            <w:u w:val="single" w:color="0462C1"/>
          </w:rPr>
          <w:t>https://www.cost.eu/actions/</w:t>
        </w:r>
        <w:r w:rsidR="003C340D" w:rsidRPr="00AC25FE">
          <w:rPr>
            <w:color w:val="0462C1"/>
            <w:u w:val="single" w:color="0462C1"/>
          </w:rPr>
          <w:t>CA21143</w:t>
        </w:r>
        <w:r w:rsidRPr="00AC25FE">
          <w:rPr>
            <w:color w:val="0462C1"/>
            <w:u w:val="single" w:color="0462C1"/>
          </w:rPr>
          <w:t>/</w:t>
        </w:r>
      </w:hyperlink>
      <w:r w:rsidR="00AC25FE" w:rsidRPr="00AC25FE">
        <w:rPr>
          <w:color w:val="0462C1"/>
          <w:u w:val="single" w:color="0462C1"/>
        </w:rPr>
        <w:t xml:space="preserve"> </w:t>
      </w:r>
    </w:p>
    <w:p w14:paraId="177AF38A" w14:textId="77777777" w:rsidR="007B4D40" w:rsidRDefault="00514636" w:rsidP="002809DD">
      <w:r w:rsidRPr="002809DD">
        <w:t>More</w:t>
      </w:r>
      <w:r w:rsidRPr="002809DD">
        <w:rPr>
          <w:spacing w:val="-4"/>
        </w:rPr>
        <w:t xml:space="preserve"> </w:t>
      </w:r>
      <w:r w:rsidRPr="002809DD">
        <w:t>information</w:t>
      </w:r>
      <w:r w:rsidRPr="002809DD">
        <w:rPr>
          <w:spacing w:val="-4"/>
        </w:rPr>
        <w:t xml:space="preserve"> </w:t>
      </w:r>
      <w:r w:rsidRPr="002809DD">
        <w:t>about</w:t>
      </w:r>
      <w:r w:rsidRPr="002809DD">
        <w:rPr>
          <w:spacing w:val="-4"/>
        </w:rPr>
        <w:t xml:space="preserve"> </w:t>
      </w:r>
      <w:r w:rsidRPr="002809DD">
        <w:t>the</w:t>
      </w:r>
      <w:r w:rsidRPr="002809DD">
        <w:rPr>
          <w:spacing w:val="-4"/>
        </w:rPr>
        <w:t xml:space="preserve"> </w:t>
      </w:r>
      <w:r w:rsidRPr="002809DD">
        <w:t>COST</w:t>
      </w:r>
      <w:r w:rsidRPr="002809DD">
        <w:rPr>
          <w:spacing w:val="-4"/>
        </w:rPr>
        <w:t xml:space="preserve"> </w:t>
      </w:r>
      <w:r w:rsidRPr="002809DD">
        <w:t>rules</w:t>
      </w:r>
      <w:r w:rsidRPr="002809DD">
        <w:rPr>
          <w:spacing w:val="-4"/>
        </w:rPr>
        <w:t xml:space="preserve"> </w:t>
      </w:r>
      <w:r w:rsidRPr="002809DD">
        <w:t>on</w:t>
      </w:r>
      <w:r w:rsidRPr="002809DD">
        <w:rPr>
          <w:spacing w:val="-5"/>
        </w:rPr>
        <w:t xml:space="preserve"> </w:t>
      </w:r>
      <w:r w:rsidR="007B4D40">
        <w:rPr>
          <w:spacing w:val="-5"/>
        </w:rPr>
        <w:t>DCG</w:t>
      </w:r>
      <w:r w:rsidRPr="002809DD">
        <w:rPr>
          <w:spacing w:val="-3"/>
        </w:rPr>
        <w:t xml:space="preserve"> </w:t>
      </w:r>
      <w:r w:rsidRPr="002809DD">
        <w:t>is</w:t>
      </w:r>
      <w:r w:rsidRPr="002809DD">
        <w:rPr>
          <w:spacing w:val="-4"/>
        </w:rPr>
        <w:t xml:space="preserve"> </w:t>
      </w:r>
      <w:r w:rsidRPr="002809DD">
        <w:t>available</w:t>
      </w:r>
      <w:r w:rsidRPr="002809DD">
        <w:rPr>
          <w:spacing w:val="-4"/>
        </w:rPr>
        <w:t xml:space="preserve"> </w:t>
      </w:r>
      <w:r w:rsidRPr="002809DD">
        <w:t>at</w:t>
      </w:r>
      <w:r w:rsidRPr="002809DD">
        <w:rPr>
          <w:spacing w:val="-4"/>
        </w:rPr>
        <w:t xml:space="preserve"> </w:t>
      </w:r>
      <w:r w:rsidRPr="002809DD">
        <w:t>the</w:t>
      </w:r>
      <w:r w:rsidRPr="002809DD">
        <w:rPr>
          <w:spacing w:val="-4"/>
        </w:rPr>
        <w:t xml:space="preserve"> </w:t>
      </w:r>
      <w:r w:rsidRPr="002809DD">
        <w:t>COST Annotated Rules for COST Actions (</w:t>
      </w:r>
      <w:hyperlink r:id="rId12">
        <w:r w:rsidRPr="002809DD">
          <w:rPr>
            <w:color w:val="0462C1"/>
            <w:u w:val="single" w:color="0462C1"/>
          </w:rPr>
          <w:t>https://www.cost.eu/Annotated_Rules_for_COST_Actions_C</w:t>
        </w:r>
      </w:hyperlink>
      <w:r w:rsidRPr="002809DD">
        <w:t>).</w:t>
      </w:r>
      <w:r w:rsidR="00BC07AA">
        <w:t xml:space="preserve">  </w:t>
      </w:r>
    </w:p>
    <w:p w14:paraId="5010771F" w14:textId="77777777" w:rsidR="00D35C48" w:rsidRDefault="00D35C48" w:rsidP="002809DD">
      <w:pPr>
        <w:pStyle w:val="Heading6"/>
      </w:pPr>
    </w:p>
    <w:p w14:paraId="281C4D5F" w14:textId="3DFA8D6E" w:rsidR="00624052" w:rsidRPr="002809DD" w:rsidRDefault="00514636" w:rsidP="002809DD">
      <w:pPr>
        <w:pStyle w:val="Heading6"/>
      </w:pPr>
      <w:r w:rsidRPr="002809DD">
        <w:t>RULES</w:t>
      </w:r>
    </w:p>
    <w:p w14:paraId="60D0F174" w14:textId="1D872D9B" w:rsidR="00624052" w:rsidRPr="002809DD" w:rsidRDefault="007B4D40" w:rsidP="002809DD">
      <w:pPr>
        <w:pStyle w:val="ListParagraph"/>
        <w:numPr>
          <w:ilvl w:val="0"/>
          <w:numId w:val="6"/>
        </w:numPr>
        <w:ind w:left="360"/>
      </w:pPr>
      <w:r w:rsidRPr="007B4D40">
        <w:t xml:space="preserve">The </w:t>
      </w:r>
      <w:r>
        <w:t>DCG</w:t>
      </w:r>
      <w:r w:rsidRPr="007B4D40">
        <w:t xml:space="preserve"> applicant must be a PhD candidate or be engaged in a research </w:t>
      </w:r>
      <w:proofErr w:type="spellStart"/>
      <w:r w:rsidRPr="007B4D40">
        <w:t>programme</w:t>
      </w:r>
      <w:proofErr w:type="spellEnd"/>
      <w:r w:rsidRPr="007B4D40">
        <w:t xml:space="preserve"> as a postdoctoral fellow or be employed by an institution of a COST Country that has signed the MoU of the Action. Applications from </w:t>
      </w:r>
      <w:r w:rsidRPr="007B4D40">
        <w:rPr>
          <w:b/>
        </w:rPr>
        <w:t xml:space="preserve">Young Researchers </w:t>
      </w:r>
      <w:r w:rsidRPr="007B4D40">
        <w:t xml:space="preserve">(under 40 years) </w:t>
      </w:r>
      <w:r w:rsidRPr="007B4D40">
        <w:rPr>
          <w:b/>
        </w:rPr>
        <w:t>are privileged</w:t>
      </w:r>
      <w:r w:rsidRPr="007B4D40">
        <w:t>.</w:t>
      </w:r>
      <w:r w:rsidR="00271236">
        <w:t xml:space="preserve">  </w:t>
      </w:r>
      <w:r w:rsidR="00271236">
        <w:br/>
      </w:r>
      <w:r w:rsidRPr="002809DD">
        <w:t>The grantees must make their own arrangements for all health, social, personal security, and pension matters.</w:t>
      </w:r>
    </w:p>
    <w:p w14:paraId="23EB50E9" w14:textId="4A2AA143" w:rsidR="00BC07AA" w:rsidRDefault="000F34B8" w:rsidP="00BC07AA">
      <w:pPr>
        <w:pStyle w:val="ListParagraph"/>
        <w:numPr>
          <w:ilvl w:val="0"/>
          <w:numId w:val="6"/>
        </w:numPr>
        <w:ind w:left="360"/>
      </w:pPr>
      <w:r w:rsidRPr="000F34B8">
        <w:t xml:space="preserve">The selection of </w:t>
      </w:r>
      <w:r w:rsidR="00271236">
        <w:t>DCG</w:t>
      </w:r>
      <w:r w:rsidR="00AC25FE">
        <w:t xml:space="preserve"> </w:t>
      </w:r>
      <w:r w:rsidRPr="000F34B8">
        <w:t xml:space="preserve">applicants is based on the scientific scope of the </w:t>
      </w:r>
      <w:r w:rsidR="00271236">
        <w:t>DCG</w:t>
      </w:r>
      <w:r w:rsidR="00AC25FE" w:rsidRPr="000F34B8">
        <w:t xml:space="preserve"> </w:t>
      </w:r>
      <w:r w:rsidRPr="000F34B8">
        <w:t xml:space="preserve">application that must be in line with the COST Action CA21143 objectives. The selection of successful candidates is made by the Action Core Group (CG), based on a proposal of the Grant Awarding Coordinator (further: </w:t>
      </w:r>
      <w:r w:rsidR="00271236">
        <w:t>DCG</w:t>
      </w:r>
      <w:r w:rsidR="00AC25FE">
        <w:t xml:space="preserve"> </w:t>
      </w:r>
      <w:r w:rsidRPr="000F34B8">
        <w:t xml:space="preserve">Coordinator) following the recommendations of the WG Leaders and the MC Chair. </w:t>
      </w:r>
      <w:r w:rsidRPr="002809DD">
        <w:t xml:space="preserve">The </w:t>
      </w:r>
      <w:r w:rsidR="00271236">
        <w:t>DCG</w:t>
      </w:r>
      <w:r w:rsidRPr="002809DD">
        <w:t xml:space="preserve"> Coordinator informs the GH about successful candidate and then the GH</w:t>
      </w:r>
      <w:r w:rsidRPr="000F34B8">
        <w:rPr>
          <w:spacing w:val="-1"/>
        </w:rPr>
        <w:t xml:space="preserve"> </w:t>
      </w:r>
      <w:r w:rsidRPr="002809DD">
        <w:t>sends a grant letter generated from e-COST system to the approved applicant. The grant letter must be signed by the applicant and returned to the GH.</w:t>
      </w:r>
    </w:p>
    <w:p w14:paraId="2EF717A0" w14:textId="7B9F6446" w:rsidR="009601C4" w:rsidRDefault="00514636" w:rsidP="009601C4">
      <w:pPr>
        <w:pStyle w:val="ListParagraph"/>
        <w:numPr>
          <w:ilvl w:val="0"/>
          <w:numId w:val="6"/>
        </w:numPr>
        <w:ind w:left="360"/>
      </w:pPr>
      <w:r w:rsidRPr="002809DD">
        <w:t xml:space="preserve">A </w:t>
      </w:r>
      <w:r w:rsidR="00271236">
        <w:t>DCG</w:t>
      </w:r>
      <w:r w:rsidRPr="002809DD">
        <w:t xml:space="preserve"> is a fixed contribution based on the requested budget </w:t>
      </w:r>
      <w:r w:rsidR="000F34B8">
        <w:t xml:space="preserve">that should reflect the duration and location of the </w:t>
      </w:r>
      <w:r w:rsidR="00271236">
        <w:t>DCG</w:t>
      </w:r>
      <w:r w:rsidR="000F34B8">
        <w:t>.</w:t>
      </w:r>
      <w:r w:rsidRPr="002809DD">
        <w:t xml:space="preserve"> </w:t>
      </w:r>
      <w:r w:rsidR="000F34B8">
        <w:t xml:space="preserve">The budget </w:t>
      </w:r>
      <w:r w:rsidRPr="002809DD">
        <w:t xml:space="preserve">is evaluated by the </w:t>
      </w:r>
      <w:r w:rsidR="00525F63">
        <w:t>ITC</w:t>
      </w:r>
      <w:r w:rsidRPr="00BC07AA">
        <w:rPr>
          <w:spacing w:val="-10"/>
        </w:rPr>
        <w:t xml:space="preserve"> </w:t>
      </w:r>
      <w:r w:rsidRPr="002809DD">
        <w:t>Coordinator.</w:t>
      </w:r>
      <w:r w:rsidRPr="00BC07AA">
        <w:rPr>
          <w:spacing w:val="-11"/>
        </w:rPr>
        <w:t xml:space="preserve"> </w:t>
      </w:r>
      <w:r w:rsidRPr="002809DD">
        <w:t>The</w:t>
      </w:r>
      <w:r w:rsidRPr="00BC07AA">
        <w:rPr>
          <w:spacing w:val="-9"/>
        </w:rPr>
        <w:t xml:space="preserve"> </w:t>
      </w:r>
      <w:r w:rsidRPr="002809DD">
        <w:t>grant</w:t>
      </w:r>
      <w:r w:rsidRPr="00BC07AA">
        <w:rPr>
          <w:spacing w:val="-9"/>
        </w:rPr>
        <w:t xml:space="preserve"> </w:t>
      </w:r>
      <w:r w:rsidR="009601C4">
        <w:rPr>
          <w:spacing w:val="-9"/>
        </w:rPr>
        <w:t xml:space="preserve">for </w:t>
      </w:r>
      <w:r w:rsidR="009601C4" w:rsidRPr="009601C4">
        <w:rPr>
          <w:spacing w:val="-9"/>
        </w:rPr>
        <w:t xml:space="preserve">face-to-face </w:t>
      </w:r>
      <w:r w:rsidR="009601C4" w:rsidRPr="009601C4">
        <w:rPr>
          <w:spacing w:val="-9"/>
        </w:rPr>
        <w:lastRenderedPageBreak/>
        <w:t xml:space="preserve">conferences </w:t>
      </w:r>
      <w:r w:rsidRPr="002809DD">
        <w:t>is</w:t>
      </w:r>
      <w:r w:rsidRPr="00BC07AA">
        <w:rPr>
          <w:spacing w:val="-10"/>
        </w:rPr>
        <w:t xml:space="preserve"> </w:t>
      </w:r>
      <w:r w:rsidRPr="002809DD">
        <w:t>for</w:t>
      </w:r>
      <w:r w:rsidRPr="00BC07AA">
        <w:rPr>
          <w:spacing w:val="-12"/>
        </w:rPr>
        <w:t xml:space="preserve"> </w:t>
      </w:r>
      <w:r w:rsidR="009601C4" w:rsidRPr="009601C4">
        <w:t>travelling, accommodation and subsistence expenses, registration fee, printing of scientific poster and overall effort.</w:t>
      </w:r>
      <w:r w:rsidR="009601C4">
        <w:t xml:space="preserve">  </w:t>
      </w:r>
      <w:r w:rsidRPr="002809DD">
        <w:t>It</w:t>
      </w:r>
      <w:r w:rsidRPr="00BC07AA">
        <w:rPr>
          <w:spacing w:val="-9"/>
        </w:rPr>
        <w:t xml:space="preserve"> </w:t>
      </w:r>
      <w:r w:rsidRPr="002809DD">
        <w:t>does</w:t>
      </w:r>
      <w:r w:rsidRPr="00BC07AA">
        <w:rPr>
          <w:spacing w:val="-9"/>
        </w:rPr>
        <w:t xml:space="preserve"> </w:t>
      </w:r>
      <w:r w:rsidRPr="002809DD">
        <w:t>not</w:t>
      </w:r>
      <w:r w:rsidRPr="00BC07AA">
        <w:rPr>
          <w:spacing w:val="-9"/>
        </w:rPr>
        <w:t xml:space="preserve"> </w:t>
      </w:r>
      <w:r w:rsidRPr="002809DD">
        <w:t>necessarily</w:t>
      </w:r>
      <w:r w:rsidRPr="00BC07AA">
        <w:rPr>
          <w:spacing w:val="-9"/>
        </w:rPr>
        <w:t xml:space="preserve"> </w:t>
      </w:r>
      <w:r w:rsidRPr="002809DD">
        <w:t>cover all such expenses.</w:t>
      </w:r>
    </w:p>
    <w:p w14:paraId="497DD774" w14:textId="219D69F8" w:rsidR="00624052" w:rsidRPr="009601C4" w:rsidRDefault="00514636" w:rsidP="009601C4">
      <w:pPr>
        <w:pStyle w:val="ListParagraph"/>
        <w:numPr>
          <w:ilvl w:val="0"/>
          <w:numId w:val="6"/>
        </w:numPr>
        <w:ind w:left="360"/>
      </w:pPr>
      <w:r w:rsidRPr="009601C4">
        <w:t>Successful</w:t>
      </w:r>
      <w:r w:rsidRPr="009601C4">
        <w:rPr>
          <w:spacing w:val="-4"/>
        </w:rPr>
        <w:t xml:space="preserve"> </w:t>
      </w:r>
      <w:r w:rsidRPr="009601C4">
        <w:t>applicants</w:t>
      </w:r>
      <w:r w:rsidRPr="009601C4">
        <w:rPr>
          <w:spacing w:val="-6"/>
        </w:rPr>
        <w:t xml:space="preserve"> </w:t>
      </w:r>
      <w:r w:rsidRPr="009601C4">
        <w:t>will</w:t>
      </w:r>
      <w:r w:rsidRPr="009601C4">
        <w:rPr>
          <w:spacing w:val="-7"/>
        </w:rPr>
        <w:t xml:space="preserve"> </w:t>
      </w:r>
      <w:r w:rsidRPr="009601C4">
        <w:t>receive</w:t>
      </w:r>
      <w:r w:rsidRPr="009601C4">
        <w:rPr>
          <w:spacing w:val="-6"/>
        </w:rPr>
        <w:t xml:space="preserve"> </w:t>
      </w:r>
      <w:r w:rsidRPr="009601C4">
        <w:t>an</w:t>
      </w:r>
      <w:r w:rsidRPr="009601C4">
        <w:rPr>
          <w:spacing w:val="-5"/>
        </w:rPr>
        <w:t xml:space="preserve"> </w:t>
      </w:r>
      <w:r w:rsidRPr="009601C4">
        <w:t>allowance</w:t>
      </w:r>
      <w:r w:rsidRPr="009601C4">
        <w:rPr>
          <w:spacing w:val="-3"/>
        </w:rPr>
        <w:t xml:space="preserve"> </w:t>
      </w:r>
      <w:r w:rsidRPr="009601C4">
        <w:t>up</w:t>
      </w:r>
      <w:r w:rsidRPr="009601C4">
        <w:rPr>
          <w:spacing w:val="-5"/>
        </w:rPr>
        <w:t xml:space="preserve"> </w:t>
      </w:r>
      <w:r w:rsidRPr="009601C4">
        <w:t>to</w:t>
      </w:r>
      <w:r w:rsidRPr="009601C4">
        <w:rPr>
          <w:spacing w:val="-7"/>
        </w:rPr>
        <w:t xml:space="preserve"> </w:t>
      </w:r>
      <w:r w:rsidR="00BC07AA" w:rsidRPr="009601C4">
        <w:rPr>
          <w:spacing w:val="-7"/>
        </w:rPr>
        <w:t>€</w:t>
      </w:r>
      <w:r w:rsidR="00BC07AA" w:rsidRPr="009601C4">
        <w:t>2 000 per grant for face-to-face conferences or €500 for virtual conferences</w:t>
      </w:r>
      <w:r w:rsidRPr="009601C4">
        <w:t>.</w:t>
      </w:r>
      <w:r w:rsidRPr="009601C4">
        <w:rPr>
          <w:spacing w:val="-4"/>
        </w:rPr>
        <w:t xml:space="preserve"> </w:t>
      </w:r>
      <w:r w:rsidRPr="009601C4">
        <w:t>The</w:t>
      </w:r>
      <w:r w:rsidRPr="009601C4">
        <w:rPr>
          <w:spacing w:val="-1"/>
        </w:rPr>
        <w:t xml:space="preserve"> </w:t>
      </w:r>
      <w:r w:rsidRPr="009601C4">
        <w:t>budget</w:t>
      </w:r>
      <w:r w:rsidRPr="009601C4">
        <w:rPr>
          <w:spacing w:val="-3"/>
        </w:rPr>
        <w:t xml:space="preserve"> </w:t>
      </w:r>
      <w:r w:rsidRPr="009601C4">
        <w:t>will</w:t>
      </w:r>
      <w:r w:rsidRPr="009601C4">
        <w:rPr>
          <w:spacing w:val="-1"/>
        </w:rPr>
        <w:t xml:space="preserve"> </w:t>
      </w:r>
      <w:r w:rsidRPr="009601C4">
        <w:t>be</w:t>
      </w:r>
      <w:r w:rsidRPr="009601C4">
        <w:rPr>
          <w:spacing w:val="-6"/>
        </w:rPr>
        <w:t xml:space="preserve"> </w:t>
      </w:r>
      <w:r w:rsidR="00D947EE" w:rsidRPr="009601C4">
        <w:t>awarded to</w:t>
      </w:r>
      <w:r w:rsidRPr="009601C4">
        <w:rPr>
          <w:spacing w:val="-4"/>
        </w:rPr>
        <w:t xml:space="preserve"> </w:t>
      </w:r>
      <w:r w:rsidRPr="009601C4">
        <w:t>the</w:t>
      </w:r>
      <w:r w:rsidRPr="009601C4">
        <w:rPr>
          <w:spacing w:val="-1"/>
        </w:rPr>
        <w:t xml:space="preserve"> </w:t>
      </w:r>
      <w:r w:rsidRPr="009601C4">
        <w:t>successful</w:t>
      </w:r>
      <w:r w:rsidRPr="009601C4">
        <w:rPr>
          <w:spacing w:val="-1"/>
        </w:rPr>
        <w:t xml:space="preserve"> </w:t>
      </w:r>
      <w:r w:rsidRPr="009601C4">
        <w:t>applicants in accordance with COST rules.</w:t>
      </w:r>
    </w:p>
    <w:p w14:paraId="7BBF60F1" w14:textId="6D06C394" w:rsidR="00624052" w:rsidRPr="002809DD" w:rsidRDefault="00514636" w:rsidP="002809DD">
      <w:pPr>
        <w:pStyle w:val="ListParagraph"/>
        <w:numPr>
          <w:ilvl w:val="0"/>
          <w:numId w:val="6"/>
        </w:numPr>
        <w:ind w:left="360"/>
      </w:pPr>
      <w:r w:rsidRPr="002809DD">
        <w:t>After</w:t>
      </w:r>
      <w:r w:rsidRPr="002809DD">
        <w:rPr>
          <w:spacing w:val="-9"/>
        </w:rPr>
        <w:t xml:space="preserve"> </w:t>
      </w:r>
      <w:r w:rsidRPr="002809DD">
        <w:t>the</w:t>
      </w:r>
      <w:r w:rsidRPr="002809DD">
        <w:rPr>
          <w:spacing w:val="-9"/>
        </w:rPr>
        <w:t xml:space="preserve"> </w:t>
      </w:r>
      <w:r w:rsidR="00271236">
        <w:rPr>
          <w:spacing w:val="-9"/>
        </w:rPr>
        <w:t>DC</w:t>
      </w:r>
      <w:r w:rsidRPr="002809DD">
        <w:t>,</w:t>
      </w:r>
      <w:r w:rsidRPr="002809DD">
        <w:rPr>
          <w:spacing w:val="-9"/>
        </w:rPr>
        <w:t xml:space="preserve"> </w:t>
      </w:r>
      <w:r w:rsidRPr="002809DD">
        <w:t>the</w:t>
      </w:r>
      <w:r w:rsidRPr="002809DD">
        <w:rPr>
          <w:spacing w:val="-9"/>
        </w:rPr>
        <w:t xml:space="preserve"> </w:t>
      </w:r>
      <w:r w:rsidR="00271236">
        <w:rPr>
          <w:spacing w:val="-9"/>
        </w:rPr>
        <w:t>DC</w:t>
      </w:r>
      <w:r w:rsidRPr="002809DD">
        <w:rPr>
          <w:spacing w:val="-9"/>
        </w:rPr>
        <w:t xml:space="preserve"> </w:t>
      </w:r>
      <w:r w:rsidRPr="002809DD">
        <w:t>participant</w:t>
      </w:r>
      <w:r w:rsidRPr="002809DD">
        <w:rPr>
          <w:spacing w:val="-8"/>
        </w:rPr>
        <w:t xml:space="preserve"> </w:t>
      </w:r>
      <w:r w:rsidRPr="002809DD">
        <w:t>must</w:t>
      </w:r>
      <w:r w:rsidRPr="002809DD">
        <w:rPr>
          <w:spacing w:val="-8"/>
        </w:rPr>
        <w:t xml:space="preserve"> </w:t>
      </w:r>
      <w:r w:rsidRPr="002809DD">
        <w:t>submit</w:t>
      </w:r>
      <w:r w:rsidRPr="002809DD">
        <w:rPr>
          <w:spacing w:val="-9"/>
        </w:rPr>
        <w:t xml:space="preserve"> </w:t>
      </w:r>
      <w:r w:rsidRPr="002809DD">
        <w:t>a</w:t>
      </w:r>
      <w:r w:rsidRPr="002809DD">
        <w:rPr>
          <w:spacing w:val="-10"/>
        </w:rPr>
        <w:t xml:space="preserve"> </w:t>
      </w:r>
      <w:r w:rsidRPr="002809DD">
        <w:rPr>
          <w:b/>
        </w:rPr>
        <w:t>scientific</w:t>
      </w:r>
      <w:r w:rsidRPr="002809DD">
        <w:rPr>
          <w:b/>
          <w:spacing w:val="-10"/>
        </w:rPr>
        <w:t xml:space="preserve"> </w:t>
      </w:r>
      <w:r w:rsidRPr="002809DD">
        <w:rPr>
          <w:b/>
        </w:rPr>
        <w:t>report</w:t>
      </w:r>
      <w:r w:rsidRPr="002809DD">
        <w:rPr>
          <w:b/>
          <w:spacing w:val="-8"/>
        </w:rPr>
        <w:t xml:space="preserve"> </w:t>
      </w:r>
      <w:r w:rsidRPr="002809DD">
        <w:t>to</w:t>
      </w:r>
      <w:r w:rsidRPr="002809DD">
        <w:rPr>
          <w:spacing w:val="-7"/>
        </w:rPr>
        <w:t xml:space="preserve"> </w:t>
      </w:r>
      <w:r w:rsidRPr="002809DD">
        <w:t>the</w:t>
      </w:r>
      <w:r w:rsidRPr="002809DD">
        <w:rPr>
          <w:spacing w:val="-9"/>
        </w:rPr>
        <w:t xml:space="preserve"> </w:t>
      </w:r>
      <w:r w:rsidR="00271236">
        <w:rPr>
          <w:spacing w:val="-9"/>
        </w:rPr>
        <w:t>DCG</w:t>
      </w:r>
      <w:r w:rsidRPr="002809DD">
        <w:t xml:space="preserve"> Coordinator within </w:t>
      </w:r>
      <w:r w:rsidRPr="002809DD">
        <w:rPr>
          <w:b/>
        </w:rPr>
        <w:t xml:space="preserve">30 days after </w:t>
      </w:r>
      <w:r w:rsidRPr="002809DD">
        <w:t>the end of his/her stays.</w:t>
      </w:r>
    </w:p>
    <w:p w14:paraId="77F6FBA7" w14:textId="580552FB" w:rsidR="00624052" w:rsidRPr="002809DD" w:rsidRDefault="00514636" w:rsidP="002809DD">
      <w:pPr>
        <w:pStyle w:val="ListParagraph"/>
        <w:numPr>
          <w:ilvl w:val="0"/>
          <w:numId w:val="6"/>
        </w:numPr>
        <w:ind w:left="360"/>
      </w:pPr>
      <w:r w:rsidRPr="002809DD">
        <w:t xml:space="preserve">The </w:t>
      </w:r>
      <w:r w:rsidR="00271236">
        <w:t>DCG</w:t>
      </w:r>
      <w:r w:rsidRPr="002809DD">
        <w:t xml:space="preserve"> will be paid after the </w:t>
      </w:r>
      <w:r w:rsidR="009601C4">
        <w:t>conference</w:t>
      </w:r>
      <w:r w:rsidRPr="002809DD">
        <w:t xml:space="preserve"> (acceptance of the scientific report and </w:t>
      </w:r>
      <w:r w:rsidR="00D90242">
        <w:t>all other requested documents</w:t>
      </w:r>
      <w:r w:rsidRPr="002809DD">
        <w:rPr>
          <w:spacing w:val="-12"/>
        </w:rPr>
        <w:t xml:space="preserve"> </w:t>
      </w:r>
      <w:r w:rsidRPr="002809DD">
        <w:t>required).</w:t>
      </w:r>
      <w:r w:rsidRPr="002809DD">
        <w:rPr>
          <w:spacing w:val="-10"/>
        </w:rPr>
        <w:t xml:space="preserve"> </w:t>
      </w:r>
      <w:r w:rsidRPr="002809DD">
        <w:t>The</w:t>
      </w:r>
      <w:r w:rsidRPr="002809DD">
        <w:rPr>
          <w:spacing w:val="-10"/>
        </w:rPr>
        <w:t xml:space="preserve"> </w:t>
      </w:r>
      <w:r w:rsidR="00271236">
        <w:rPr>
          <w:spacing w:val="-10"/>
        </w:rPr>
        <w:t>DCG</w:t>
      </w:r>
      <w:r w:rsidR="00AC25FE">
        <w:rPr>
          <w:spacing w:val="-12"/>
        </w:rPr>
        <w:t xml:space="preserve"> </w:t>
      </w:r>
      <w:r w:rsidRPr="002809DD">
        <w:t>candidates</w:t>
      </w:r>
      <w:r w:rsidRPr="002809DD">
        <w:rPr>
          <w:spacing w:val="-10"/>
        </w:rPr>
        <w:t xml:space="preserve"> </w:t>
      </w:r>
      <w:r w:rsidRPr="002809DD">
        <w:t>must</w:t>
      </w:r>
      <w:r w:rsidRPr="002809DD">
        <w:rPr>
          <w:spacing w:val="-9"/>
        </w:rPr>
        <w:t xml:space="preserve"> </w:t>
      </w:r>
      <w:r w:rsidRPr="002809DD">
        <w:t>therefore</w:t>
      </w:r>
      <w:r w:rsidRPr="002809DD">
        <w:rPr>
          <w:spacing w:val="-10"/>
        </w:rPr>
        <w:t xml:space="preserve"> </w:t>
      </w:r>
      <w:r w:rsidRPr="002809DD">
        <w:t>pre-finance</w:t>
      </w:r>
      <w:r w:rsidRPr="002809DD">
        <w:rPr>
          <w:spacing w:val="-9"/>
        </w:rPr>
        <w:t xml:space="preserve"> </w:t>
      </w:r>
      <w:r w:rsidRPr="002809DD">
        <w:t>costs</w:t>
      </w:r>
      <w:r w:rsidRPr="002809DD">
        <w:rPr>
          <w:spacing w:val="-12"/>
        </w:rPr>
        <w:t xml:space="preserve"> </w:t>
      </w:r>
      <w:r w:rsidRPr="002809DD">
        <w:t xml:space="preserve">related to the </w:t>
      </w:r>
      <w:r w:rsidR="00525F63">
        <w:t>ITC</w:t>
      </w:r>
      <w:r w:rsidRPr="002809DD">
        <w:t xml:space="preserve"> (travel, stay, meals). </w:t>
      </w:r>
    </w:p>
    <w:p w14:paraId="59212A7B" w14:textId="77777777" w:rsidR="00624052" w:rsidRPr="002809DD" w:rsidRDefault="00624052" w:rsidP="002809DD"/>
    <w:p w14:paraId="6867916A" w14:textId="77777777" w:rsidR="00624052" w:rsidRPr="002809DD" w:rsidRDefault="00514636" w:rsidP="00D35C48">
      <w:pPr>
        <w:pStyle w:val="Heading6"/>
      </w:pPr>
      <w:r w:rsidRPr="002809DD">
        <w:t>APPLICATION</w:t>
      </w:r>
    </w:p>
    <w:p w14:paraId="1B379263" w14:textId="77777777" w:rsidR="00854708" w:rsidRDefault="00271236" w:rsidP="00D35C48">
      <w:r w:rsidRPr="00271236">
        <w:t>If you are interested in applying, complete the on-line application available at your e-COST account (</w:t>
      </w:r>
      <w:hyperlink r:id="rId13" w:history="1">
        <w:r w:rsidRPr="009B629F">
          <w:rPr>
            <w:rStyle w:val="Hyperlink"/>
          </w:rPr>
          <w:t>https://e-services.cost.eu/grants</w:t>
        </w:r>
      </w:hyperlink>
      <w:r w:rsidRPr="00271236">
        <w:t xml:space="preserve">), after selecting COST Action CA21143 (Grant Applications, left menu) up to </w:t>
      </w:r>
      <w:r w:rsidR="00514636">
        <w:t>6</w:t>
      </w:r>
      <w:r w:rsidR="00514636" w:rsidRPr="00514636">
        <w:rPr>
          <w:vertAlign w:val="superscript"/>
        </w:rPr>
        <w:t>th</w:t>
      </w:r>
      <w:r w:rsidR="00514636">
        <w:t xml:space="preserve"> of January 2023</w:t>
      </w:r>
      <w:r w:rsidRPr="00271236">
        <w:t xml:space="preserve">. Or go directly to </w:t>
      </w:r>
      <w:hyperlink r:id="rId14" w:history="1">
        <w:r w:rsidRPr="009B629F">
          <w:rPr>
            <w:rStyle w:val="Hyperlink"/>
          </w:rPr>
          <w:t>https://e-services.cost.eu/activity/grants/add?type=DCG</w:t>
        </w:r>
      </w:hyperlink>
      <w:r w:rsidRPr="00271236">
        <w:t>.</w:t>
      </w:r>
    </w:p>
    <w:p w14:paraId="59AD4C06" w14:textId="09624D2E" w:rsidR="00624052" w:rsidRPr="002809DD" w:rsidRDefault="00271236" w:rsidP="00D35C48">
      <w:r w:rsidRPr="002809DD">
        <w:t>The</w:t>
      </w:r>
      <w:r w:rsidRPr="002809DD">
        <w:rPr>
          <w:spacing w:val="-5"/>
        </w:rPr>
        <w:t xml:space="preserve"> </w:t>
      </w:r>
      <w:r w:rsidRPr="002809DD">
        <w:t>following</w:t>
      </w:r>
      <w:r w:rsidRPr="002809DD">
        <w:rPr>
          <w:spacing w:val="-4"/>
        </w:rPr>
        <w:t xml:space="preserve"> </w:t>
      </w:r>
      <w:r w:rsidRPr="002809DD">
        <w:t>supporting</w:t>
      </w:r>
      <w:r w:rsidRPr="002809DD">
        <w:rPr>
          <w:spacing w:val="-3"/>
        </w:rPr>
        <w:t xml:space="preserve"> </w:t>
      </w:r>
      <w:r w:rsidRPr="002809DD">
        <w:t>documents</w:t>
      </w:r>
      <w:r w:rsidRPr="002809DD">
        <w:rPr>
          <w:spacing w:val="-5"/>
        </w:rPr>
        <w:t xml:space="preserve"> </w:t>
      </w:r>
      <w:r w:rsidRPr="002809DD">
        <w:t>must</w:t>
      </w:r>
      <w:r w:rsidRPr="002809DD">
        <w:rPr>
          <w:spacing w:val="-4"/>
        </w:rPr>
        <w:t xml:space="preserve"> </w:t>
      </w:r>
      <w:r w:rsidRPr="002809DD">
        <w:t>be</w:t>
      </w:r>
      <w:r w:rsidRPr="002809DD">
        <w:rPr>
          <w:spacing w:val="-3"/>
        </w:rPr>
        <w:t xml:space="preserve"> </w:t>
      </w:r>
      <w:r w:rsidRPr="002809DD">
        <w:t>included</w:t>
      </w:r>
      <w:r w:rsidRPr="002809DD">
        <w:rPr>
          <w:spacing w:val="-4"/>
        </w:rPr>
        <w:t xml:space="preserve"> </w:t>
      </w:r>
      <w:r w:rsidRPr="002809DD">
        <w:t>in</w:t>
      </w:r>
      <w:r w:rsidRPr="002809DD">
        <w:rPr>
          <w:spacing w:val="-3"/>
        </w:rPr>
        <w:t xml:space="preserve"> </w:t>
      </w:r>
      <w:r w:rsidRPr="002809DD">
        <w:t>the</w:t>
      </w:r>
      <w:r w:rsidRPr="002809DD">
        <w:rPr>
          <w:spacing w:val="-2"/>
        </w:rPr>
        <w:t xml:space="preserve"> application:</w:t>
      </w:r>
    </w:p>
    <w:p w14:paraId="39EA4495" w14:textId="77777777" w:rsidR="007B4D40" w:rsidRPr="007B4D40" w:rsidRDefault="007B4D40" w:rsidP="007B4D40">
      <w:pPr>
        <w:pStyle w:val="ListBullet"/>
        <w:numPr>
          <w:ilvl w:val="0"/>
          <w:numId w:val="17"/>
        </w:numPr>
        <w:rPr>
          <w:bCs/>
        </w:rPr>
      </w:pPr>
      <w:bookmarkStart w:id="2" w:name="_Hlk118285682"/>
      <w:r w:rsidRPr="007B4D40">
        <w:rPr>
          <w:bCs/>
        </w:rPr>
        <w:t>Application form (template available on e-COST) describing: Alignment with the Action Science Communication plan and Expected impact to the COST Action.</w:t>
      </w:r>
    </w:p>
    <w:p w14:paraId="0CAD2F6C" w14:textId="77777777" w:rsidR="007B4D40" w:rsidRDefault="007B4D40" w:rsidP="007B4D40">
      <w:pPr>
        <w:pStyle w:val="ListBullet"/>
        <w:numPr>
          <w:ilvl w:val="0"/>
          <w:numId w:val="17"/>
        </w:numPr>
        <w:rPr>
          <w:bCs/>
        </w:rPr>
      </w:pPr>
      <w:r w:rsidRPr="007B4D40">
        <w:rPr>
          <w:bCs/>
        </w:rPr>
        <w:t>Copy of the abstract of the accepted oral presentation focused on promoting the scientific achievements and activities being performed by the COST Action;</w:t>
      </w:r>
    </w:p>
    <w:p w14:paraId="408CFAED" w14:textId="371EE2FA" w:rsidR="007B4D40" w:rsidRDefault="007B4D40" w:rsidP="007B4D40">
      <w:pPr>
        <w:pStyle w:val="ListBullet"/>
        <w:numPr>
          <w:ilvl w:val="0"/>
          <w:numId w:val="17"/>
        </w:numPr>
        <w:rPr>
          <w:bCs/>
        </w:rPr>
      </w:pPr>
      <w:r w:rsidRPr="007B4D40">
        <w:rPr>
          <w:bCs/>
        </w:rPr>
        <w:t xml:space="preserve">Acceptance (or invitation) letter from the conference </w:t>
      </w:r>
      <w:proofErr w:type="spellStart"/>
      <w:r w:rsidRPr="007B4D40">
        <w:rPr>
          <w:bCs/>
        </w:rPr>
        <w:t>organisers</w:t>
      </w:r>
      <w:proofErr w:type="spellEnd"/>
      <w:r w:rsidR="00271236">
        <w:rPr>
          <w:bCs/>
        </w:rPr>
        <w:t>.</w:t>
      </w:r>
    </w:p>
    <w:p w14:paraId="7113BCDD" w14:textId="1EA87B40" w:rsidR="00D947EE" w:rsidRPr="007B4D40" w:rsidRDefault="00D947EE" w:rsidP="007B4D40">
      <w:pPr>
        <w:pStyle w:val="NoSpacing"/>
      </w:pPr>
      <w:r w:rsidRPr="007B4D40">
        <w:t xml:space="preserve">All applicants will be informed about the result of the call </w:t>
      </w:r>
      <w:r w:rsidR="00411BFF" w:rsidRPr="007B4D40">
        <w:t>by end of January 2023.</w:t>
      </w:r>
    </w:p>
    <w:bookmarkEnd w:id="2"/>
    <w:p w14:paraId="1802881A" w14:textId="77777777" w:rsidR="00624052" w:rsidRPr="002809DD" w:rsidRDefault="00624052">
      <w:pPr>
        <w:pStyle w:val="BodyText"/>
        <w:ind w:left="0"/>
        <w:rPr>
          <w:rFonts w:asciiTheme="minorHAnsi" w:hAnsiTheme="minorHAnsi" w:cstheme="minorHAnsi"/>
        </w:rPr>
      </w:pPr>
    </w:p>
    <w:p w14:paraId="342C03D8" w14:textId="77777777" w:rsidR="00624052" w:rsidRPr="002809DD" w:rsidRDefault="00514636" w:rsidP="00D35C48">
      <w:pPr>
        <w:pStyle w:val="Heading6"/>
      </w:pPr>
      <w:r w:rsidRPr="002809DD">
        <w:t>SELECTION</w:t>
      </w:r>
      <w:r w:rsidRPr="002809DD">
        <w:rPr>
          <w:spacing w:val="-7"/>
        </w:rPr>
        <w:t xml:space="preserve"> </w:t>
      </w:r>
      <w:r w:rsidRPr="002809DD">
        <w:rPr>
          <w:spacing w:val="-2"/>
        </w:rPr>
        <w:t>CRITERIA</w:t>
      </w:r>
    </w:p>
    <w:p w14:paraId="179C4A5E" w14:textId="41C79190" w:rsidR="00624052" w:rsidRPr="002809DD" w:rsidRDefault="00514636" w:rsidP="00D35C48">
      <w:bookmarkStart w:id="3" w:name="_Hlk117605516"/>
      <w:r w:rsidRPr="002809DD">
        <w:t xml:space="preserve">Applications will be assessed by the Cost Action </w:t>
      </w:r>
      <w:r w:rsidR="003C340D" w:rsidRPr="002809DD">
        <w:t>CA21143</w:t>
      </w:r>
      <w:r w:rsidRPr="002809DD">
        <w:t xml:space="preserve"> WG leaders, the Core Group and the </w:t>
      </w:r>
      <w:r w:rsidR="00271236">
        <w:t>DCG</w:t>
      </w:r>
      <w:r w:rsidR="00D35C48">
        <w:t xml:space="preserve"> </w:t>
      </w:r>
      <w:r w:rsidRPr="002809DD">
        <w:t>Coordinator according to the following criteria:</w:t>
      </w:r>
    </w:p>
    <w:p w14:paraId="54B6D9B1" w14:textId="3E5E84C0" w:rsidR="00AC25FE" w:rsidRDefault="00514636" w:rsidP="00AC25FE">
      <w:pPr>
        <w:pStyle w:val="ListBullet"/>
        <w:numPr>
          <w:ilvl w:val="0"/>
          <w:numId w:val="13"/>
        </w:numPr>
      </w:pPr>
      <w:r w:rsidRPr="002809DD">
        <w:t>Scientific</w:t>
      </w:r>
      <w:r w:rsidRPr="00AC25FE">
        <w:rPr>
          <w:spacing w:val="-4"/>
        </w:rPr>
        <w:t xml:space="preserve"> </w:t>
      </w:r>
      <w:r w:rsidRPr="002809DD">
        <w:t>quality</w:t>
      </w:r>
      <w:r w:rsidRPr="00AC25FE">
        <w:rPr>
          <w:spacing w:val="-6"/>
        </w:rPr>
        <w:t xml:space="preserve"> </w:t>
      </w:r>
      <w:r w:rsidRPr="002809DD">
        <w:t>and</w:t>
      </w:r>
      <w:r w:rsidRPr="00AC25FE">
        <w:rPr>
          <w:spacing w:val="-5"/>
        </w:rPr>
        <w:t xml:space="preserve"> </w:t>
      </w:r>
      <w:r w:rsidRPr="002809DD">
        <w:t>relevance</w:t>
      </w:r>
      <w:r w:rsidRPr="00AC25FE">
        <w:rPr>
          <w:spacing w:val="-6"/>
        </w:rPr>
        <w:t xml:space="preserve"> </w:t>
      </w:r>
      <w:r w:rsidRPr="002809DD">
        <w:t>of</w:t>
      </w:r>
      <w:r w:rsidRPr="00AC25FE">
        <w:rPr>
          <w:spacing w:val="-7"/>
        </w:rPr>
        <w:t xml:space="preserve"> </w:t>
      </w:r>
      <w:r w:rsidRPr="002809DD">
        <w:t>the</w:t>
      </w:r>
      <w:r w:rsidRPr="00AC25FE">
        <w:rPr>
          <w:spacing w:val="-7"/>
        </w:rPr>
        <w:t xml:space="preserve"> </w:t>
      </w:r>
      <w:r w:rsidRPr="002809DD">
        <w:t>work</w:t>
      </w:r>
      <w:r w:rsidRPr="00AC25FE">
        <w:rPr>
          <w:spacing w:val="-4"/>
        </w:rPr>
        <w:t xml:space="preserve"> </w:t>
      </w:r>
      <w:r w:rsidRPr="002809DD">
        <w:t>plan.</w:t>
      </w:r>
      <w:r w:rsidRPr="00AC25FE">
        <w:rPr>
          <w:spacing w:val="-7"/>
        </w:rPr>
        <w:t xml:space="preserve"> </w:t>
      </w:r>
      <w:r w:rsidRPr="002809DD">
        <w:t>Namely,</w:t>
      </w:r>
      <w:r w:rsidRPr="00AC25FE">
        <w:rPr>
          <w:spacing w:val="-7"/>
        </w:rPr>
        <w:t xml:space="preserve"> </w:t>
      </w:r>
      <w:r w:rsidRPr="002809DD">
        <w:t>how</w:t>
      </w:r>
      <w:r w:rsidRPr="00AC25FE">
        <w:rPr>
          <w:spacing w:val="-6"/>
        </w:rPr>
        <w:t xml:space="preserve"> </w:t>
      </w:r>
      <w:r w:rsidRPr="002809DD">
        <w:t>well</w:t>
      </w:r>
      <w:r w:rsidRPr="00AC25FE">
        <w:rPr>
          <w:spacing w:val="-5"/>
        </w:rPr>
        <w:t xml:space="preserve"> </w:t>
      </w:r>
      <w:r w:rsidRPr="002809DD">
        <w:t>it</w:t>
      </w:r>
      <w:r w:rsidRPr="00AC25FE">
        <w:rPr>
          <w:spacing w:val="-3"/>
        </w:rPr>
        <w:t xml:space="preserve"> </w:t>
      </w:r>
      <w:r w:rsidR="00126018" w:rsidRPr="002809DD">
        <w:t>addresses</w:t>
      </w:r>
      <w:r w:rsidRPr="00AC25FE">
        <w:rPr>
          <w:spacing w:val="-5"/>
        </w:rPr>
        <w:t xml:space="preserve"> </w:t>
      </w:r>
      <w:r w:rsidRPr="002809DD">
        <w:t>the</w:t>
      </w:r>
      <w:r w:rsidRPr="00AC25FE">
        <w:rPr>
          <w:spacing w:val="-4"/>
        </w:rPr>
        <w:t xml:space="preserve"> </w:t>
      </w:r>
      <w:r w:rsidRPr="002809DD">
        <w:t xml:space="preserve">proposed topics and the COST Action </w:t>
      </w:r>
      <w:r w:rsidR="003C340D" w:rsidRPr="002809DD">
        <w:t>CA21143</w:t>
      </w:r>
      <w:r w:rsidRPr="002809DD">
        <w:t xml:space="preserve"> objectives;</w:t>
      </w:r>
    </w:p>
    <w:p w14:paraId="3A654C3E" w14:textId="77777777" w:rsidR="00AC25FE" w:rsidRPr="00AC25FE" w:rsidRDefault="00514636" w:rsidP="00AC25FE">
      <w:pPr>
        <w:pStyle w:val="ListBullet"/>
        <w:numPr>
          <w:ilvl w:val="0"/>
          <w:numId w:val="13"/>
        </w:numPr>
      </w:pPr>
      <w:r w:rsidRPr="002809DD">
        <w:t>Anticipated</w:t>
      </w:r>
      <w:r w:rsidRPr="00AC25FE">
        <w:rPr>
          <w:spacing w:val="-9"/>
        </w:rPr>
        <w:t xml:space="preserve"> </w:t>
      </w:r>
      <w:r w:rsidRPr="002809DD">
        <w:t>outcomes</w:t>
      </w:r>
      <w:r w:rsidRPr="00AC25FE">
        <w:rPr>
          <w:spacing w:val="-3"/>
        </w:rPr>
        <w:t xml:space="preserve"> </w:t>
      </w:r>
      <w:r w:rsidRPr="002809DD">
        <w:t>in</w:t>
      </w:r>
      <w:r w:rsidRPr="00AC25FE">
        <w:rPr>
          <w:spacing w:val="-4"/>
        </w:rPr>
        <w:t xml:space="preserve"> </w:t>
      </w:r>
      <w:r w:rsidRPr="002809DD">
        <w:t>respect</w:t>
      </w:r>
      <w:r w:rsidRPr="00AC25FE">
        <w:rPr>
          <w:spacing w:val="-6"/>
        </w:rPr>
        <w:t xml:space="preserve"> </w:t>
      </w:r>
      <w:r w:rsidRPr="002809DD">
        <w:t>of</w:t>
      </w:r>
      <w:r w:rsidRPr="00AC25FE">
        <w:rPr>
          <w:spacing w:val="-4"/>
        </w:rPr>
        <w:t xml:space="preserve"> </w:t>
      </w:r>
      <w:r w:rsidRPr="002809DD">
        <w:t>COST</w:t>
      </w:r>
      <w:r w:rsidRPr="00AC25FE">
        <w:rPr>
          <w:spacing w:val="-3"/>
        </w:rPr>
        <w:t xml:space="preserve"> </w:t>
      </w:r>
      <w:r w:rsidRPr="002809DD">
        <w:t>Action</w:t>
      </w:r>
      <w:r w:rsidRPr="00AC25FE">
        <w:rPr>
          <w:spacing w:val="-5"/>
        </w:rPr>
        <w:t xml:space="preserve"> </w:t>
      </w:r>
      <w:r w:rsidR="003C340D" w:rsidRPr="002809DD">
        <w:t>CA21143</w:t>
      </w:r>
      <w:r w:rsidRPr="00AC25FE">
        <w:rPr>
          <w:spacing w:val="-5"/>
        </w:rPr>
        <w:t xml:space="preserve"> </w:t>
      </w:r>
      <w:r w:rsidRPr="00AC25FE">
        <w:rPr>
          <w:spacing w:val="-2"/>
        </w:rPr>
        <w:t>objectives;</w:t>
      </w:r>
    </w:p>
    <w:p w14:paraId="0EC250D8" w14:textId="05CA3BD0" w:rsidR="00624052" w:rsidRPr="002809DD" w:rsidRDefault="00514636" w:rsidP="00AC25FE">
      <w:pPr>
        <w:pStyle w:val="ListBullet"/>
        <w:numPr>
          <w:ilvl w:val="0"/>
          <w:numId w:val="13"/>
        </w:numPr>
      </w:pPr>
      <w:r w:rsidRPr="002809DD">
        <w:t>Contribution</w:t>
      </w:r>
      <w:r w:rsidRPr="00AC25FE">
        <w:rPr>
          <w:spacing w:val="-7"/>
        </w:rPr>
        <w:t xml:space="preserve"> </w:t>
      </w:r>
      <w:r w:rsidRPr="002809DD">
        <w:t>to</w:t>
      </w:r>
      <w:r w:rsidRPr="00AC25FE">
        <w:rPr>
          <w:spacing w:val="-3"/>
        </w:rPr>
        <w:t xml:space="preserve"> </w:t>
      </w:r>
      <w:r w:rsidRPr="002809DD">
        <w:t>personal</w:t>
      </w:r>
      <w:r w:rsidRPr="00AC25FE">
        <w:rPr>
          <w:spacing w:val="-3"/>
        </w:rPr>
        <w:t xml:space="preserve"> </w:t>
      </w:r>
      <w:r w:rsidRPr="002809DD">
        <w:t>development</w:t>
      </w:r>
      <w:r w:rsidRPr="00AC25FE">
        <w:rPr>
          <w:spacing w:val="-5"/>
        </w:rPr>
        <w:t xml:space="preserve"> </w:t>
      </w:r>
      <w:r w:rsidRPr="002809DD">
        <w:t>of</w:t>
      </w:r>
      <w:r w:rsidRPr="00AC25FE">
        <w:rPr>
          <w:spacing w:val="-5"/>
        </w:rPr>
        <w:t xml:space="preserve"> </w:t>
      </w:r>
      <w:r w:rsidRPr="002809DD">
        <w:t>the</w:t>
      </w:r>
      <w:r w:rsidRPr="00AC25FE">
        <w:rPr>
          <w:spacing w:val="-3"/>
        </w:rPr>
        <w:t xml:space="preserve"> </w:t>
      </w:r>
      <w:r w:rsidRPr="00AC25FE">
        <w:rPr>
          <w:spacing w:val="-2"/>
        </w:rPr>
        <w:t>candidate;</w:t>
      </w:r>
    </w:p>
    <w:p w14:paraId="4FA42551" w14:textId="1A360CEF" w:rsidR="00624052" w:rsidRPr="00C01215" w:rsidRDefault="00514636" w:rsidP="00AC25FE">
      <w:pPr>
        <w:pStyle w:val="NoSpacing"/>
        <w:numPr>
          <w:ilvl w:val="0"/>
          <w:numId w:val="13"/>
        </w:numPr>
      </w:pPr>
      <w:r w:rsidRPr="002809DD">
        <w:t>Other</w:t>
      </w:r>
      <w:r w:rsidRPr="002809DD">
        <w:rPr>
          <w:spacing w:val="-5"/>
        </w:rPr>
        <w:t xml:space="preserve"> </w:t>
      </w:r>
      <w:r w:rsidRPr="002809DD">
        <w:t>criteria</w:t>
      </w:r>
      <w:r w:rsidRPr="002809DD">
        <w:rPr>
          <w:spacing w:val="-4"/>
        </w:rPr>
        <w:t xml:space="preserve"> </w:t>
      </w:r>
      <w:r w:rsidRPr="002809DD">
        <w:t>include</w:t>
      </w:r>
      <w:r w:rsidRPr="002809DD">
        <w:rPr>
          <w:spacing w:val="-5"/>
        </w:rPr>
        <w:t xml:space="preserve"> </w:t>
      </w:r>
      <w:r w:rsidRPr="002809DD">
        <w:t>early</w:t>
      </w:r>
      <w:r w:rsidRPr="002809DD">
        <w:rPr>
          <w:spacing w:val="-5"/>
        </w:rPr>
        <w:t xml:space="preserve"> </w:t>
      </w:r>
      <w:r w:rsidRPr="002809DD">
        <w:t>career,</w:t>
      </w:r>
      <w:r w:rsidRPr="002809DD">
        <w:rPr>
          <w:spacing w:val="-2"/>
        </w:rPr>
        <w:t xml:space="preserve"> </w:t>
      </w:r>
      <w:r w:rsidRPr="002809DD">
        <w:t>gender</w:t>
      </w:r>
      <w:r w:rsidRPr="002809DD">
        <w:rPr>
          <w:spacing w:val="-3"/>
        </w:rPr>
        <w:t xml:space="preserve"> </w:t>
      </w:r>
      <w:r w:rsidRPr="002809DD">
        <w:t>balance</w:t>
      </w:r>
      <w:r w:rsidRPr="002809DD">
        <w:rPr>
          <w:spacing w:val="-2"/>
        </w:rPr>
        <w:t xml:space="preserve"> </w:t>
      </w:r>
      <w:r w:rsidRPr="002809DD">
        <w:t>and</w:t>
      </w:r>
      <w:r w:rsidRPr="002809DD">
        <w:rPr>
          <w:spacing w:val="-6"/>
        </w:rPr>
        <w:t xml:space="preserve"> </w:t>
      </w:r>
      <w:r w:rsidRPr="002809DD">
        <w:t>geographical</w:t>
      </w:r>
      <w:r w:rsidRPr="002809DD">
        <w:rPr>
          <w:spacing w:val="-3"/>
        </w:rPr>
        <w:t xml:space="preserve"> </w:t>
      </w:r>
      <w:r w:rsidRPr="002809DD">
        <w:rPr>
          <w:spacing w:val="-2"/>
        </w:rPr>
        <w:t>inclusiveness</w:t>
      </w:r>
      <w:r w:rsidR="00C01215">
        <w:rPr>
          <w:spacing w:val="-2"/>
        </w:rPr>
        <w:t>;</w:t>
      </w:r>
    </w:p>
    <w:bookmarkEnd w:id="3"/>
    <w:p w14:paraId="0EA63625" w14:textId="781CA5F0" w:rsidR="00C01215" w:rsidRPr="00C01215" w:rsidRDefault="00C01215" w:rsidP="00C01215">
      <w:pPr>
        <w:pStyle w:val="ListParagraph"/>
        <w:numPr>
          <w:ilvl w:val="0"/>
          <w:numId w:val="8"/>
        </w:numPr>
        <w:rPr>
          <w:lang w:val="en-GB" w:eastAsia="nl-NL"/>
        </w:rPr>
      </w:pPr>
      <w:r w:rsidRPr="00C01215">
        <w:rPr>
          <w:lang w:val="en-GB" w:eastAsia="nl-NL"/>
        </w:rPr>
        <w:t>The application of the ‘</w:t>
      </w:r>
      <w:hyperlink r:id="rId15" w:history="1">
        <w:r w:rsidRPr="00C01215">
          <w:rPr>
            <w:rStyle w:val="Hyperlink"/>
            <w:lang w:val="en-GB" w:eastAsia="nl-NL"/>
          </w:rPr>
          <w:t>Rules and Principles for COST activities’</w:t>
        </w:r>
      </w:hyperlink>
      <w:r w:rsidRPr="00C01215">
        <w:rPr>
          <w:lang w:val="en-GB" w:eastAsia="nl-NL"/>
        </w:rPr>
        <w:t xml:space="preserve"> </w:t>
      </w:r>
      <w:r>
        <w:rPr>
          <w:lang w:val="en-GB" w:eastAsia="nl-NL"/>
        </w:rPr>
        <w:t>by th</w:t>
      </w:r>
      <w:r w:rsidRPr="00C01215">
        <w:rPr>
          <w:lang w:val="en-GB" w:eastAsia="nl-NL"/>
        </w:rPr>
        <w:t>e applicant</w:t>
      </w:r>
      <w:r>
        <w:rPr>
          <w:lang w:val="en-GB" w:eastAsia="nl-NL"/>
        </w:rPr>
        <w:t>.</w:t>
      </w:r>
    </w:p>
    <w:p w14:paraId="67386CC4" w14:textId="77777777" w:rsidR="00624052" w:rsidRPr="002809DD" w:rsidRDefault="00624052">
      <w:pPr>
        <w:pStyle w:val="BodyText"/>
        <w:spacing w:before="1"/>
        <w:ind w:left="0"/>
        <w:rPr>
          <w:rFonts w:asciiTheme="minorHAnsi" w:hAnsiTheme="minorHAnsi" w:cstheme="minorHAnsi"/>
        </w:rPr>
      </w:pPr>
    </w:p>
    <w:p w14:paraId="7AB17AF5" w14:textId="5AF3168E" w:rsidR="00624052" w:rsidRPr="002809DD" w:rsidRDefault="00514636" w:rsidP="00D35C48">
      <w:pPr>
        <w:pStyle w:val="Heading6"/>
      </w:pPr>
      <w:r w:rsidRPr="002809DD">
        <w:t>After</w:t>
      </w:r>
      <w:r w:rsidRPr="002809DD">
        <w:rPr>
          <w:spacing w:val="-1"/>
        </w:rPr>
        <w:t xml:space="preserve"> </w:t>
      </w:r>
      <w:r w:rsidRPr="002809DD">
        <w:t>the</w:t>
      </w:r>
      <w:r w:rsidRPr="002809DD">
        <w:rPr>
          <w:spacing w:val="-3"/>
        </w:rPr>
        <w:t xml:space="preserve"> </w:t>
      </w:r>
      <w:r w:rsidR="00525F63">
        <w:rPr>
          <w:spacing w:val="-4"/>
        </w:rPr>
        <w:t>ITC</w:t>
      </w:r>
      <w:r w:rsidR="00AC25FE">
        <w:rPr>
          <w:spacing w:val="-4"/>
        </w:rPr>
        <w:t xml:space="preserve"> Conference</w:t>
      </w:r>
    </w:p>
    <w:p w14:paraId="05C70E74" w14:textId="10A024CA" w:rsidR="00624052" w:rsidRPr="002809DD" w:rsidRDefault="00514636" w:rsidP="00D35C48">
      <w:r w:rsidRPr="002809DD">
        <w:t xml:space="preserve">The grantee is obliged to submit a short scientific report to the host institution (for information) and to the </w:t>
      </w:r>
      <w:r w:rsidR="00525F63">
        <w:t>ITC</w:t>
      </w:r>
      <w:r w:rsidRPr="002809DD">
        <w:t xml:space="preserve"> Coordinator or MC Core Group (for approval) within 30 days after the end date of the </w:t>
      </w:r>
      <w:r w:rsidR="00271236">
        <w:t>DC</w:t>
      </w:r>
      <w:r w:rsidRPr="002809DD">
        <w:t>. The report must contain the following information:</w:t>
      </w:r>
    </w:p>
    <w:p w14:paraId="40823EF3" w14:textId="5C36CCF7" w:rsidR="00624052" w:rsidRPr="002809DD" w:rsidRDefault="00514636" w:rsidP="00D35C48">
      <w:pPr>
        <w:pStyle w:val="ListBullet"/>
        <w:numPr>
          <w:ilvl w:val="0"/>
          <w:numId w:val="9"/>
        </w:numPr>
      </w:pPr>
      <w:r w:rsidRPr="002809DD">
        <w:t>Purpose</w:t>
      </w:r>
      <w:r w:rsidRPr="002809DD">
        <w:rPr>
          <w:spacing w:val="-1"/>
        </w:rPr>
        <w:t xml:space="preserve"> </w:t>
      </w:r>
      <w:r w:rsidRPr="002809DD">
        <w:t>of</w:t>
      </w:r>
      <w:r w:rsidRPr="002809DD">
        <w:rPr>
          <w:spacing w:val="-4"/>
        </w:rPr>
        <w:t xml:space="preserve"> </w:t>
      </w:r>
      <w:r w:rsidRPr="002809DD">
        <w:t>the</w:t>
      </w:r>
      <w:r w:rsidRPr="002809DD">
        <w:rPr>
          <w:spacing w:val="-3"/>
        </w:rPr>
        <w:t xml:space="preserve"> </w:t>
      </w:r>
      <w:r w:rsidR="00271236">
        <w:rPr>
          <w:spacing w:val="-4"/>
        </w:rPr>
        <w:t>DC</w:t>
      </w:r>
      <w:r w:rsidRPr="002809DD">
        <w:rPr>
          <w:spacing w:val="-4"/>
        </w:rPr>
        <w:t>;</w:t>
      </w:r>
    </w:p>
    <w:p w14:paraId="5FB5BCB4" w14:textId="29BE9E43" w:rsidR="00624052" w:rsidRPr="002809DD" w:rsidRDefault="00514636" w:rsidP="00D35C48">
      <w:pPr>
        <w:pStyle w:val="ListBullet"/>
        <w:numPr>
          <w:ilvl w:val="0"/>
          <w:numId w:val="9"/>
        </w:numPr>
      </w:pPr>
      <w:r w:rsidRPr="002809DD">
        <w:t>Description</w:t>
      </w:r>
      <w:r w:rsidRPr="002809DD">
        <w:rPr>
          <w:spacing w:val="-7"/>
        </w:rPr>
        <w:t xml:space="preserve"> </w:t>
      </w:r>
      <w:r w:rsidRPr="002809DD">
        <w:t>of</w:t>
      </w:r>
      <w:r w:rsidRPr="002809DD">
        <w:rPr>
          <w:spacing w:val="-2"/>
        </w:rPr>
        <w:t xml:space="preserve"> </w:t>
      </w:r>
      <w:r w:rsidRPr="002809DD">
        <w:t>the</w:t>
      </w:r>
      <w:r w:rsidRPr="002809DD">
        <w:rPr>
          <w:spacing w:val="-2"/>
        </w:rPr>
        <w:t xml:space="preserve"> </w:t>
      </w:r>
      <w:r w:rsidRPr="002809DD">
        <w:t>work</w:t>
      </w:r>
      <w:r w:rsidRPr="002809DD">
        <w:rPr>
          <w:spacing w:val="-4"/>
        </w:rPr>
        <w:t xml:space="preserve"> </w:t>
      </w:r>
      <w:r w:rsidRPr="002809DD">
        <w:t>carried</w:t>
      </w:r>
      <w:r w:rsidRPr="002809DD">
        <w:rPr>
          <w:spacing w:val="-3"/>
        </w:rPr>
        <w:t xml:space="preserve"> </w:t>
      </w:r>
      <w:r w:rsidRPr="002809DD">
        <w:t>out</w:t>
      </w:r>
      <w:r w:rsidRPr="002809DD">
        <w:rPr>
          <w:spacing w:val="-4"/>
        </w:rPr>
        <w:t xml:space="preserve"> </w:t>
      </w:r>
      <w:r w:rsidRPr="002809DD">
        <w:t>during</w:t>
      </w:r>
      <w:r w:rsidRPr="002809DD">
        <w:rPr>
          <w:spacing w:val="-3"/>
        </w:rPr>
        <w:t xml:space="preserve"> </w:t>
      </w:r>
      <w:r w:rsidRPr="002809DD">
        <w:t>the</w:t>
      </w:r>
      <w:r w:rsidRPr="002809DD">
        <w:rPr>
          <w:spacing w:val="-1"/>
        </w:rPr>
        <w:t xml:space="preserve"> </w:t>
      </w:r>
      <w:r w:rsidR="00271236">
        <w:rPr>
          <w:spacing w:val="-4"/>
        </w:rPr>
        <w:t>DC</w:t>
      </w:r>
      <w:r w:rsidRPr="002809DD">
        <w:rPr>
          <w:spacing w:val="-4"/>
        </w:rPr>
        <w:t>;</w:t>
      </w:r>
    </w:p>
    <w:p w14:paraId="5A1529B8" w14:textId="77777777" w:rsidR="00624052" w:rsidRPr="002809DD" w:rsidRDefault="00514636" w:rsidP="00D35C48">
      <w:pPr>
        <w:pStyle w:val="ListBullet"/>
        <w:numPr>
          <w:ilvl w:val="0"/>
          <w:numId w:val="9"/>
        </w:numPr>
      </w:pPr>
      <w:r w:rsidRPr="002809DD">
        <w:t>Description</w:t>
      </w:r>
      <w:r w:rsidRPr="002809DD">
        <w:rPr>
          <w:spacing w:val="-6"/>
        </w:rPr>
        <w:t xml:space="preserve"> </w:t>
      </w:r>
      <w:r w:rsidRPr="002809DD">
        <w:t>of</w:t>
      </w:r>
      <w:r w:rsidRPr="002809DD">
        <w:rPr>
          <w:spacing w:val="-2"/>
        </w:rPr>
        <w:t xml:space="preserve"> </w:t>
      </w:r>
      <w:r w:rsidRPr="002809DD">
        <w:t>the</w:t>
      </w:r>
      <w:r w:rsidRPr="002809DD">
        <w:rPr>
          <w:spacing w:val="-4"/>
        </w:rPr>
        <w:t xml:space="preserve"> </w:t>
      </w:r>
      <w:r w:rsidRPr="002809DD">
        <w:t>main</w:t>
      </w:r>
      <w:r w:rsidRPr="002809DD">
        <w:rPr>
          <w:spacing w:val="-4"/>
        </w:rPr>
        <w:t xml:space="preserve"> </w:t>
      </w:r>
      <w:r w:rsidRPr="002809DD">
        <w:t>results</w:t>
      </w:r>
      <w:r w:rsidRPr="002809DD">
        <w:rPr>
          <w:spacing w:val="-2"/>
        </w:rPr>
        <w:t xml:space="preserve"> obtained;</w:t>
      </w:r>
    </w:p>
    <w:p w14:paraId="78EE59FF" w14:textId="77777777" w:rsidR="00624052" w:rsidRPr="002809DD" w:rsidRDefault="00514636" w:rsidP="00D35C48">
      <w:pPr>
        <w:pStyle w:val="ListBullet"/>
        <w:numPr>
          <w:ilvl w:val="0"/>
          <w:numId w:val="9"/>
        </w:numPr>
      </w:pPr>
      <w:r w:rsidRPr="002809DD">
        <w:t>Future</w:t>
      </w:r>
      <w:r w:rsidRPr="002809DD">
        <w:rPr>
          <w:spacing w:val="-3"/>
        </w:rPr>
        <w:t xml:space="preserve"> </w:t>
      </w:r>
      <w:r w:rsidRPr="002809DD">
        <w:t>collaboration</w:t>
      </w:r>
      <w:r w:rsidRPr="002809DD">
        <w:rPr>
          <w:spacing w:val="-5"/>
        </w:rPr>
        <w:t xml:space="preserve"> </w:t>
      </w:r>
      <w:r w:rsidRPr="002809DD">
        <w:t>with</w:t>
      </w:r>
      <w:r w:rsidRPr="002809DD">
        <w:rPr>
          <w:spacing w:val="-2"/>
        </w:rPr>
        <w:t xml:space="preserve"> </w:t>
      </w:r>
      <w:r w:rsidRPr="002809DD">
        <w:t>the</w:t>
      </w:r>
      <w:r w:rsidRPr="002809DD">
        <w:rPr>
          <w:spacing w:val="-1"/>
        </w:rPr>
        <w:t xml:space="preserve"> </w:t>
      </w:r>
      <w:r w:rsidRPr="002809DD">
        <w:t>host</w:t>
      </w:r>
      <w:r w:rsidRPr="002809DD">
        <w:rPr>
          <w:spacing w:val="-4"/>
        </w:rPr>
        <w:t xml:space="preserve"> </w:t>
      </w:r>
      <w:r w:rsidRPr="002809DD">
        <w:t>institution</w:t>
      </w:r>
      <w:r w:rsidRPr="002809DD">
        <w:rPr>
          <w:spacing w:val="-3"/>
        </w:rPr>
        <w:t xml:space="preserve"> </w:t>
      </w:r>
      <w:r w:rsidRPr="002809DD">
        <w:t>(if</w:t>
      </w:r>
      <w:r w:rsidRPr="002809DD">
        <w:rPr>
          <w:spacing w:val="-5"/>
        </w:rPr>
        <w:t xml:space="preserve"> </w:t>
      </w:r>
      <w:r w:rsidRPr="002809DD">
        <w:rPr>
          <w:spacing w:val="-2"/>
        </w:rPr>
        <w:t>applicable);</w:t>
      </w:r>
    </w:p>
    <w:p w14:paraId="6AFF89E3" w14:textId="7296E894" w:rsidR="00624052" w:rsidRPr="002809DD" w:rsidRDefault="00514636" w:rsidP="00D35C48">
      <w:pPr>
        <w:pStyle w:val="ListBullet"/>
        <w:numPr>
          <w:ilvl w:val="0"/>
          <w:numId w:val="9"/>
        </w:numPr>
      </w:pPr>
      <w:r w:rsidRPr="002809DD">
        <w:t>Foreseen</w:t>
      </w:r>
      <w:r w:rsidRPr="002809DD">
        <w:rPr>
          <w:spacing w:val="-6"/>
        </w:rPr>
        <w:t xml:space="preserve"> </w:t>
      </w:r>
      <w:r w:rsidRPr="002809DD">
        <w:t>publications</w:t>
      </w:r>
      <w:r w:rsidRPr="002809DD">
        <w:rPr>
          <w:spacing w:val="-5"/>
        </w:rPr>
        <w:t xml:space="preserve"> </w:t>
      </w:r>
      <w:r w:rsidRPr="002809DD">
        <w:t>/</w:t>
      </w:r>
      <w:r w:rsidRPr="002809DD">
        <w:rPr>
          <w:spacing w:val="-3"/>
        </w:rPr>
        <w:t xml:space="preserve"> </w:t>
      </w:r>
      <w:r w:rsidRPr="002809DD">
        <w:t>articles</w:t>
      </w:r>
      <w:r w:rsidRPr="002809DD">
        <w:rPr>
          <w:spacing w:val="-3"/>
        </w:rPr>
        <w:t xml:space="preserve"> </w:t>
      </w:r>
      <w:r w:rsidRPr="002809DD">
        <w:t>resulting</w:t>
      </w:r>
      <w:r w:rsidRPr="002809DD">
        <w:rPr>
          <w:spacing w:val="-5"/>
        </w:rPr>
        <w:t xml:space="preserve"> </w:t>
      </w:r>
      <w:r w:rsidRPr="002809DD">
        <w:t>from</w:t>
      </w:r>
      <w:r w:rsidRPr="002809DD">
        <w:rPr>
          <w:spacing w:val="-4"/>
        </w:rPr>
        <w:t xml:space="preserve"> </w:t>
      </w:r>
      <w:r w:rsidRPr="002809DD">
        <w:t>the</w:t>
      </w:r>
      <w:r w:rsidRPr="002809DD">
        <w:rPr>
          <w:spacing w:val="-4"/>
        </w:rPr>
        <w:t xml:space="preserve"> </w:t>
      </w:r>
      <w:r w:rsidR="00271236">
        <w:t>DC</w:t>
      </w:r>
      <w:r w:rsidRPr="002809DD">
        <w:rPr>
          <w:spacing w:val="-3"/>
        </w:rPr>
        <w:t xml:space="preserve"> </w:t>
      </w:r>
      <w:r w:rsidRPr="002809DD">
        <w:t>(if</w:t>
      </w:r>
      <w:r w:rsidRPr="002809DD">
        <w:rPr>
          <w:spacing w:val="-3"/>
        </w:rPr>
        <w:t xml:space="preserve"> </w:t>
      </w:r>
      <w:r w:rsidRPr="002809DD">
        <w:rPr>
          <w:spacing w:val="-2"/>
        </w:rPr>
        <w:t>applicable);</w:t>
      </w:r>
    </w:p>
    <w:p w14:paraId="6859CC36" w14:textId="160E7541" w:rsidR="00624052" w:rsidRPr="002809DD" w:rsidRDefault="00514636" w:rsidP="00D35C48">
      <w:pPr>
        <w:pStyle w:val="ListBullet"/>
        <w:numPr>
          <w:ilvl w:val="0"/>
          <w:numId w:val="9"/>
        </w:numPr>
      </w:pPr>
      <w:r w:rsidRPr="002809DD">
        <w:t>Confirmation</w:t>
      </w:r>
      <w:r w:rsidRPr="002809DD">
        <w:rPr>
          <w:spacing w:val="-8"/>
        </w:rPr>
        <w:t xml:space="preserve"> </w:t>
      </w:r>
      <w:r w:rsidRPr="002809DD">
        <w:t>by</w:t>
      </w:r>
      <w:r w:rsidRPr="002809DD">
        <w:rPr>
          <w:spacing w:val="-4"/>
        </w:rPr>
        <w:t xml:space="preserve"> </w:t>
      </w:r>
      <w:r w:rsidRPr="002809DD">
        <w:t>the</w:t>
      </w:r>
      <w:r w:rsidRPr="002809DD">
        <w:rPr>
          <w:spacing w:val="-3"/>
        </w:rPr>
        <w:t xml:space="preserve"> </w:t>
      </w:r>
      <w:r w:rsidRPr="002809DD">
        <w:t>host</w:t>
      </w:r>
      <w:r w:rsidRPr="002809DD">
        <w:rPr>
          <w:spacing w:val="-2"/>
        </w:rPr>
        <w:t xml:space="preserve"> </w:t>
      </w:r>
      <w:r w:rsidRPr="002809DD">
        <w:t>institution</w:t>
      </w:r>
      <w:r w:rsidRPr="002809DD">
        <w:rPr>
          <w:spacing w:val="-8"/>
        </w:rPr>
        <w:t xml:space="preserve"> </w:t>
      </w:r>
      <w:r w:rsidRPr="002809DD">
        <w:t>of</w:t>
      </w:r>
      <w:r w:rsidRPr="002809DD">
        <w:rPr>
          <w:spacing w:val="-6"/>
        </w:rPr>
        <w:t xml:space="preserve"> </w:t>
      </w:r>
      <w:r w:rsidRPr="002809DD">
        <w:t>the</w:t>
      </w:r>
      <w:r w:rsidRPr="002809DD">
        <w:rPr>
          <w:spacing w:val="-3"/>
        </w:rPr>
        <w:t xml:space="preserve"> </w:t>
      </w:r>
      <w:r w:rsidRPr="002809DD">
        <w:t>successful</w:t>
      </w:r>
      <w:r w:rsidRPr="002809DD">
        <w:rPr>
          <w:spacing w:val="-7"/>
        </w:rPr>
        <w:t xml:space="preserve"> </w:t>
      </w:r>
      <w:r w:rsidRPr="002809DD">
        <w:t>execution</w:t>
      </w:r>
      <w:r w:rsidRPr="002809DD">
        <w:rPr>
          <w:spacing w:val="-4"/>
        </w:rPr>
        <w:t xml:space="preserve"> </w:t>
      </w:r>
      <w:r w:rsidRPr="002809DD">
        <w:t>of</w:t>
      </w:r>
      <w:r w:rsidRPr="002809DD">
        <w:rPr>
          <w:spacing w:val="-7"/>
        </w:rPr>
        <w:t xml:space="preserve"> </w:t>
      </w:r>
      <w:r w:rsidRPr="002809DD">
        <w:t>the</w:t>
      </w:r>
      <w:r w:rsidRPr="002809DD">
        <w:rPr>
          <w:spacing w:val="-5"/>
        </w:rPr>
        <w:t xml:space="preserve"> </w:t>
      </w:r>
      <w:r w:rsidR="00271236">
        <w:rPr>
          <w:spacing w:val="-2"/>
        </w:rPr>
        <w:t>DC</w:t>
      </w:r>
      <w:r w:rsidRPr="002809DD">
        <w:rPr>
          <w:spacing w:val="-2"/>
        </w:rPr>
        <w:t>;</w:t>
      </w:r>
    </w:p>
    <w:p w14:paraId="57FC3278" w14:textId="77777777" w:rsidR="00624052" w:rsidRPr="002809DD" w:rsidRDefault="00514636" w:rsidP="00D35C48">
      <w:pPr>
        <w:pStyle w:val="ListBullet"/>
        <w:numPr>
          <w:ilvl w:val="0"/>
          <w:numId w:val="9"/>
        </w:numPr>
      </w:pPr>
      <w:r w:rsidRPr="002809DD">
        <w:t>Other</w:t>
      </w:r>
      <w:r w:rsidRPr="002809DD">
        <w:rPr>
          <w:spacing w:val="-4"/>
        </w:rPr>
        <w:t xml:space="preserve"> </w:t>
      </w:r>
      <w:r w:rsidRPr="002809DD">
        <w:t>comments</w:t>
      </w:r>
      <w:r w:rsidRPr="002809DD">
        <w:rPr>
          <w:spacing w:val="-6"/>
        </w:rPr>
        <w:t xml:space="preserve"> </w:t>
      </w:r>
      <w:r w:rsidRPr="002809DD">
        <w:t>(if</w:t>
      </w:r>
      <w:r w:rsidRPr="002809DD">
        <w:rPr>
          <w:spacing w:val="-3"/>
        </w:rPr>
        <w:t xml:space="preserve"> </w:t>
      </w:r>
      <w:r w:rsidRPr="002809DD">
        <w:rPr>
          <w:spacing w:val="-2"/>
        </w:rPr>
        <w:t>any).</w:t>
      </w:r>
    </w:p>
    <w:p w14:paraId="7D916832" w14:textId="2AD7F9FE" w:rsidR="00D90242" w:rsidRPr="00252EBB" w:rsidRDefault="00D90242" w:rsidP="00D90242">
      <w:r>
        <w:t>Other</w:t>
      </w:r>
      <w:r w:rsidRPr="00252EBB">
        <w:t xml:space="preserve"> required report</w:t>
      </w:r>
      <w:r>
        <w:t>s</w:t>
      </w:r>
      <w:r w:rsidRPr="00252EBB">
        <w:t xml:space="preserve">/documentation for claiming an </w:t>
      </w:r>
      <w:r w:rsidR="00271236">
        <w:t>DC</w:t>
      </w:r>
      <w:r w:rsidRPr="00252EBB">
        <w:t xml:space="preserve"> Grant </w:t>
      </w:r>
      <w:r>
        <w:t>are</w:t>
      </w:r>
      <w:r w:rsidRPr="00252EBB">
        <w:t>:</w:t>
      </w:r>
    </w:p>
    <w:p w14:paraId="4E575461" w14:textId="77777777" w:rsidR="00D90242" w:rsidRDefault="00D90242" w:rsidP="00D90242">
      <w:pPr>
        <w:pStyle w:val="ListParagraph"/>
        <w:numPr>
          <w:ilvl w:val="0"/>
          <w:numId w:val="13"/>
        </w:numPr>
      </w:pPr>
      <w:r w:rsidRPr="00252EBB">
        <w:t>Report to the Action MC on the outcome of the presentation of the accepted contribution, in terms of grantee’s visibility, including the establishment of new contacts for future collaborations</w:t>
      </w:r>
    </w:p>
    <w:p w14:paraId="074CDDCA" w14:textId="77777777" w:rsidR="00D90242" w:rsidRDefault="00D90242" w:rsidP="00D90242">
      <w:pPr>
        <w:pStyle w:val="ListParagraph"/>
        <w:numPr>
          <w:ilvl w:val="0"/>
          <w:numId w:val="13"/>
        </w:numPr>
      </w:pPr>
      <w:r w:rsidRPr="00252EBB">
        <w:t>The certificate of attendance,</w:t>
      </w:r>
    </w:p>
    <w:p w14:paraId="2AE54BFA" w14:textId="01A1E007" w:rsidR="00D90242" w:rsidRDefault="00514636" w:rsidP="00D90242">
      <w:pPr>
        <w:pStyle w:val="ListParagraph"/>
        <w:numPr>
          <w:ilvl w:val="0"/>
          <w:numId w:val="13"/>
        </w:numPr>
      </w:pPr>
      <w:r>
        <w:t>T</w:t>
      </w:r>
      <w:r w:rsidR="00D90242" w:rsidRPr="00252EBB">
        <w:t xml:space="preserve">he </w:t>
      </w:r>
      <w:proofErr w:type="spellStart"/>
      <w:r w:rsidR="00D90242" w:rsidRPr="00252EBB">
        <w:t>programme</w:t>
      </w:r>
      <w:proofErr w:type="spellEnd"/>
      <w:r w:rsidR="00D90242" w:rsidRPr="00252EBB">
        <w:t xml:space="preserve"> of the conference or book of abstracts / proceedings indicating the presentation (oral or poster) of the grantee</w:t>
      </w:r>
    </w:p>
    <w:p w14:paraId="39A07523" w14:textId="62058882" w:rsidR="00D90242" w:rsidRDefault="00514636" w:rsidP="00D90242">
      <w:pPr>
        <w:pStyle w:val="ListParagraph"/>
        <w:numPr>
          <w:ilvl w:val="0"/>
          <w:numId w:val="13"/>
        </w:numPr>
      </w:pPr>
      <w:r>
        <w:t>C</w:t>
      </w:r>
      <w:r w:rsidR="00D90242" w:rsidRPr="00252EBB">
        <w:t>opy of the given presentation (oral or poster);</w:t>
      </w:r>
    </w:p>
    <w:p w14:paraId="0129134B" w14:textId="77777777" w:rsidR="00624052" w:rsidRPr="002809DD" w:rsidRDefault="00514636" w:rsidP="00D35C48">
      <w:r w:rsidRPr="002809DD">
        <w:t>Please</w:t>
      </w:r>
      <w:r w:rsidRPr="002809DD">
        <w:rPr>
          <w:spacing w:val="-2"/>
        </w:rPr>
        <w:t xml:space="preserve"> </w:t>
      </w:r>
      <w:r w:rsidRPr="002809DD">
        <w:t>note</w:t>
      </w:r>
      <w:r w:rsidRPr="002809DD">
        <w:rPr>
          <w:spacing w:val="-5"/>
        </w:rPr>
        <w:t xml:space="preserve"> </w:t>
      </w:r>
      <w:r w:rsidRPr="002809DD">
        <w:t>that</w:t>
      </w:r>
      <w:r w:rsidRPr="002809DD">
        <w:rPr>
          <w:spacing w:val="-3"/>
        </w:rPr>
        <w:t xml:space="preserve"> </w:t>
      </w:r>
      <w:r w:rsidRPr="002809DD">
        <w:t>failure</w:t>
      </w:r>
      <w:r w:rsidRPr="002809DD">
        <w:rPr>
          <w:spacing w:val="-4"/>
        </w:rPr>
        <w:t xml:space="preserve"> </w:t>
      </w:r>
      <w:r w:rsidRPr="002809DD">
        <w:t>to</w:t>
      </w:r>
      <w:r w:rsidRPr="002809DD">
        <w:rPr>
          <w:spacing w:val="-5"/>
        </w:rPr>
        <w:t xml:space="preserve"> </w:t>
      </w:r>
      <w:r w:rsidRPr="002809DD">
        <w:t>submit</w:t>
      </w:r>
      <w:r w:rsidRPr="002809DD">
        <w:rPr>
          <w:spacing w:val="-5"/>
        </w:rPr>
        <w:t xml:space="preserve"> </w:t>
      </w:r>
      <w:r w:rsidRPr="002809DD">
        <w:t>the</w:t>
      </w:r>
      <w:r w:rsidRPr="002809DD">
        <w:rPr>
          <w:spacing w:val="-4"/>
        </w:rPr>
        <w:t xml:space="preserve"> </w:t>
      </w:r>
      <w:r w:rsidRPr="002809DD">
        <w:t>scientific</w:t>
      </w:r>
      <w:r w:rsidRPr="002809DD">
        <w:rPr>
          <w:spacing w:val="-1"/>
        </w:rPr>
        <w:t xml:space="preserve"> </w:t>
      </w:r>
      <w:r w:rsidRPr="002809DD">
        <w:t>report</w:t>
      </w:r>
      <w:r w:rsidRPr="002809DD">
        <w:rPr>
          <w:spacing w:val="-3"/>
        </w:rPr>
        <w:t xml:space="preserve"> </w:t>
      </w:r>
      <w:r w:rsidRPr="002809DD">
        <w:t>on</w:t>
      </w:r>
      <w:r w:rsidRPr="002809DD">
        <w:rPr>
          <w:spacing w:val="-4"/>
        </w:rPr>
        <w:t xml:space="preserve"> </w:t>
      </w:r>
      <w:r w:rsidRPr="002809DD">
        <w:t>time</w:t>
      </w:r>
      <w:r w:rsidRPr="002809DD">
        <w:rPr>
          <w:spacing w:val="-2"/>
        </w:rPr>
        <w:t xml:space="preserve"> </w:t>
      </w:r>
      <w:r w:rsidRPr="002809DD">
        <w:t>will</w:t>
      </w:r>
      <w:r w:rsidRPr="002809DD">
        <w:rPr>
          <w:spacing w:val="-5"/>
        </w:rPr>
        <w:t xml:space="preserve"> </w:t>
      </w:r>
      <w:r w:rsidRPr="002809DD">
        <w:t>effectively</w:t>
      </w:r>
      <w:r w:rsidRPr="002809DD">
        <w:rPr>
          <w:spacing w:val="-4"/>
        </w:rPr>
        <w:t xml:space="preserve"> </w:t>
      </w:r>
      <w:r w:rsidRPr="002809DD">
        <w:t>cancel</w:t>
      </w:r>
      <w:r w:rsidRPr="002809DD">
        <w:rPr>
          <w:spacing w:val="-3"/>
        </w:rPr>
        <w:t xml:space="preserve"> </w:t>
      </w:r>
      <w:r w:rsidRPr="002809DD">
        <w:t>the</w:t>
      </w:r>
      <w:r w:rsidRPr="002809DD">
        <w:rPr>
          <w:spacing w:val="-5"/>
        </w:rPr>
        <w:t xml:space="preserve"> </w:t>
      </w:r>
      <w:r w:rsidRPr="002809DD">
        <w:rPr>
          <w:spacing w:val="-2"/>
        </w:rPr>
        <w:t>grant.</w:t>
      </w:r>
    </w:p>
    <w:p w14:paraId="1FD5D4BA" w14:textId="24A71DF8" w:rsidR="00624052" w:rsidRPr="002809DD" w:rsidRDefault="00514636" w:rsidP="00D35C48">
      <w:r w:rsidRPr="002809DD">
        <w:t>The</w:t>
      </w:r>
      <w:r w:rsidRPr="002809DD">
        <w:rPr>
          <w:spacing w:val="-3"/>
        </w:rPr>
        <w:t xml:space="preserve"> </w:t>
      </w:r>
      <w:r w:rsidR="00271236">
        <w:rPr>
          <w:spacing w:val="-3"/>
        </w:rPr>
        <w:t>DCG</w:t>
      </w:r>
      <w:r w:rsidR="00D35C48">
        <w:t xml:space="preserve"> </w:t>
      </w:r>
      <w:r w:rsidRPr="002809DD">
        <w:t>Coordinator</w:t>
      </w:r>
      <w:r w:rsidRPr="002809DD">
        <w:rPr>
          <w:spacing w:val="-6"/>
        </w:rPr>
        <w:t xml:space="preserve"> </w:t>
      </w:r>
      <w:r w:rsidRPr="002809DD">
        <w:t>will</w:t>
      </w:r>
      <w:r w:rsidRPr="002809DD">
        <w:rPr>
          <w:spacing w:val="-6"/>
        </w:rPr>
        <w:t xml:space="preserve"> </w:t>
      </w:r>
      <w:r w:rsidRPr="002809DD">
        <w:t>inform</w:t>
      </w:r>
      <w:r w:rsidRPr="002809DD">
        <w:rPr>
          <w:spacing w:val="-5"/>
        </w:rPr>
        <w:t xml:space="preserve"> </w:t>
      </w:r>
      <w:r w:rsidRPr="002809DD">
        <w:t>the</w:t>
      </w:r>
      <w:r w:rsidRPr="002809DD">
        <w:rPr>
          <w:spacing w:val="-6"/>
        </w:rPr>
        <w:t xml:space="preserve"> </w:t>
      </w:r>
      <w:r w:rsidRPr="002809DD">
        <w:t>GH</w:t>
      </w:r>
      <w:r w:rsidRPr="002809DD">
        <w:rPr>
          <w:spacing w:val="-4"/>
        </w:rPr>
        <w:t xml:space="preserve"> </w:t>
      </w:r>
      <w:r w:rsidRPr="002809DD">
        <w:t>about</w:t>
      </w:r>
      <w:r w:rsidRPr="002809DD">
        <w:rPr>
          <w:spacing w:val="-3"/>
        </w:rPr>
        <w:t xml:space="preserve"> </w:t>
      </w:r>
      <w:r w:rsidRPr="002809DD">
        <w:t>the</w:t>
      </w:r>
      <w:r w:rsidRPr="002809DD">
        <w:rPr>
          <w:spacing w:val="-3"/>
        </w:rPr>
        <w:t xml:space="preserve"> </w:t>
      </w:r>
      <w:r w:rsidRPr="002809DD">
        <w:t>acceptance</w:t>
      </w:r>
      <w:r w:rsidRPr="002809DD">
        <w:rPr>
          <w:spacing w:val="-5"/>
        </w:rPr>
        <w:t xml:space="preserve"> </w:t>
      </w:r>
      <w:r w:rsidRPr="002809DD">
        <w:t>of</w:t>
      </w:r>
      <w:r w:rsidRPr="002809DD">
        <w:rPr>
          <w:spacing w:val="-6"/>
        </w:rPr>
        <w:t xml:space="preserve"> </w:t>
      </w:r>
      <w:r w:rsidRPr="002809DD">
        <w:t>the</w:t>
      </w:r>
      <w:r w:rsidRPr="002809DD">
        <w:rPr>
          <w:spacing w:val="-6"/>
        </w:rPr>
        <w:t xml:space="preserve"> </w:t>
      </w:r>
      <w:r w:rsidRPr="002809DD">
        <w:t>report.</w:t>
      </w:r>
      <w:r w:rsidRPr="002809DD">
        <w:rPr>
          <w:spacing w:val="-3"/>
        </w:rPr>
        <w:t xml:space="preserve"> </w:t>
      </w:r>
      <w:r w:rsidRPr="002809DD">
        <w:t>Afterwards,</w:t>
      </w:r>
      <w:r w:rsidRPr="002809DD">
        <w:rPr>
          <w:spacing w:val="-6"/>
        </w:rPr>
        <w:t xml:space="preserve"> </w:t>
      </w:r>
      <w:r w:rsidRPr="002809DD">
        <w:t>the</w:t>
      </w:r>
      <w:r w:rsidRPr="002809DD">
        <w:rPr>
          <w:spacing w:val="-6"/>
        </w:rPr>
        <w:t xml:space="preserve"> </w:t>
      </w:r>
      <w:r w:rsidRPr="002809DD">
        <w:t>GH</w:t>
      </w:r>
      <w:r w:rsidRPr="002809DD">
        <w:rPr>
          <w:spacing w:val="-4"/>
        </w:rPr>
        <w:t xml:space="preserve"> </w:t>
      </w:r>
      <w:r w:rsidRPr="002809DD">
        <w:t xml:space="preserve">will </w:t>
      </w:r>
      <w:r w:rsidRPr="002809DD">
        <w:lastRenderedPageBreak/>
        <w:t>execute the payment of</w:t>
      </w:r>
      <w:r w:rsidRPr="002809DD">
        <w:rPr>
          <w:spacing w:val="-1"/>
        </w:rPr>
        <w:t xml:space="preserve"> </w:t>
      </w:r>
      <w:r w:rsidRPr="002809DD">
        <w:t>the fixed grant</w:t>
      </w:r>
      <w:r w:rsidRPr="002809DD">
        <w:rPr>
          <w:spacing w:val="-1"/>
        </w:rPr>
        <w:t xml:space="preserve"> </w:t>
      </w:r>
      <w:r w:rsidRPr="002809DD">
        <w:t>directly</w:t>
      </w:r>
      <w:r w:rsidRPr="002809DD">
        <w:rPr>
          <w:spacing w:val="-1"/>
        </w:rPr>
        <w:t xml:space="preserve"> </w:t>
      </w:r>
      <w:r w:rsidRPr="002809DD">
        <w:t>to the</w:t>
      </w:r>
      <w:r w:rsidRPr="002809DD">
        <w:rPr>
          <w:spacing w:val="-1"/>
        </w:rPr>
        <w:t xml:space="preserve"> </w:t>
      </w:r>
      <w:r w:rsidRPr="002809DD">
        <w:t>grantee or</w:t>
      </w:r>
      <w:r w:rsidRPr="002809DD">
        <w:rPr>
          <w:spacing w:val="-1"/>
        </w:rPr>
        <w:t xml:space="preserve"> </w:t>
      </w:r>
      <w:r w:rsidRPr="002809DD">
        <w:t>to home institution as</w:t>
      </w:r>
      <w:r w:rsidRPr="002809DD">
        <w:rPr>
          <w:spacing w:val="-1"/>
        </w:rPr>
        <w:t xml:space="preserve"> </w:t>
      </w:r>
      <w:r w:rsidRPr="002809DD">
        <w:t>stated in the application form.</w:t>
      </w:r>
    </w:p>
    <w:p w14:paraId="63BDC85C" w14:textId="0842C7F4" w:rsidR="009719AE" w:rsidRDefault="009719AE">
      <w:pPr>
        <w:pStyle w:val="BodyText"/>
        <w:ind w:left="0"/>
        <w:rPr>
          <w:rFonts w:asciiTheme="minorHAnsi" w:hAnsiTheme="minorHAnsi" w:cstheme="minorHAnsi"/>
          <w:sz w:val="20"/>
        </w:rPr>
      </w:pPr>
    </w:p>
    <w:p w14:paraId="6C6F5612" w14:textId="77777777" w:rsidR="00252EBB" w:rsidRPr="002809DD" w:rsidRDefault="00252EBB">
      <w:pPr>
        <w:pStyle w:val="BodyText"/>
        <w:ind w:left="0"/>
        <w:rPr>
          <w:rFonts w:asciiTheme="minorHAnsi" w:hAnsiTheme="minorHAnsi" w:cstheme="minorHAnsi"/>
          <w:sz w:val="20"/>
        </w:rPr>
      </w:pPr>
    </w:p>
    <w:p w14:paraId="696D2320" w14:textId="3F747159" w:rsidR="00624052" w:rsidRPr="002809DD" w:rsidRDefault="00252EBB">
      <w:pPr>
        <w:pStyle w:val="BodyText"/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9719AE">
        <w:rPr>
          <w:rFonts w:asciiTheme="minorHAnsi" w:hAnsiTheme="minorHAnsi" w:cstheme="minorHAnsi"/>
          <w:sz w:val="20"/>
        </w:rPr>
        <w:t xml:space="preserve">erms and abbreviations used in this document: Check </w:t>
      </w:r>
      <w:hyperlink r:id="rId16" w:history="1">
        <w:r w:rsidR="009719AE" w:rsidRPr="009719AE">
          <w:rPr>
            <w:rStyle w:val="Hyperlink"/>
            <w:rFonts w:asciiTheme="minorHAnsi" w:hAnsiTheme="minorHAnsi" w:cstheme="minorHAnsi"/>
            <w:sz w:val="20"/>
          </w:rPr>
          <w:t>here</w:t>
        </w:r>
      </w:hyperlink>
      <w:r w:rsidR="009719AE">
        <w:rPr>
          <w:rFonts w:asciiTheme="minorHAnsi" w:hAnsiTheme="minorHAnsi" w:cstheme="minorHAnsi"/>
          <w:sz w:val="20"/>
        </w:rPr>
        <w:t xml:space="preserve"> for definitions and the full list.</w:t>
      </w:r>
    </w:p>
    <w:p w14:paraId="115764B3" w14:textId="77777777" w:rsidR="009719AE" w:rsidRDefault="009719AE">
      <w:pPr>
        <w:pStyle w:val="BodyText"/>
        <w:spacing w:before="10"/>
        <w:ind w:left="0"/>
        <w:rPr>
          <w:rFonts w:asciiTheme="minorHAnsi" w:hAnsiTheme="minorHAnsi" w:cstheme="minorHAnsi"/>
          <w:sz w:val="27"/>
        </w:rPr>
      </w:pPr>
    </w:p>
    <w:p w14:paraId="1AE95F2A" w14:textId="47678028" w:rsidR="00624052" w:rsidRPr="002809DD" w:rsidRDefault="00514636" w:rsidP="00F8240C">
      <w:pPr>
        <w:pStyle w:val="NoSpacing"/>
        <w:rPr>
          <w:sz w:val="27"/>
        </w:rPr>
      </w:pPr>
      <w:r w:rsidRPr="002809DD">
        <w:rPr>
          <w:noProof/>
        </w:rPr>
        <w:drawing>
          <wp:anchor distT="0" distB="0" distL="0" distR="0" simplePos="0" relativeHeight="251658240" behindDoc="0" locked="0" layoutInCell="1" allowOverlap="1" wp14:anchorId="6DC94939" wp14:editId="66840F7A">
            <wp:simplePos x="0" y="0"/>
            <wp:positionH relativeFrom="page">
              <wp:posOffset>5438775</wp:posOffset>
            </wp:positionH>
            <wp:positionV relativeFrom="paragraph">
              <wp:posOffset>327025</wp:posOffset>
            </wp:positionV>
            <wp:extent cx="974090" cy="34544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4052" w:rsidRPr="002809DD">
      <w:pgSz w:w="11910" w:h="16840"/>
      <w:pgMar w:top="138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0581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031D8"/>
    <w:multiLevelType w:val="hybridMultilevel"/>
    <w:tmpl w:val="B246C0C2"/>
    <w:lvl w:ilvl="0" w:tplc="5CEC4F56">
      <w:numFmt w:val="bullet"/>
      <w:lvlText w:val="-"/>
      <w:lvlJc w:val="left"/>
      <w:pPr>
        <w:ind w:left="5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AAC48BC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DD8413C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1EC02BDE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5F2225A4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59B8418C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EF24C4EC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1CF2C0A6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4B1036A2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FA72B0"/>
    <w:multiLevelType w:val="hybridMultilevel"/>
    <w:tmpl w:val="31C60562"/>
    <w:lvl w:ilvl="0" w:tplc="DDE4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0921"/>
    <w:multiLevelType w:val="hybridMultilevel"/>
    <w:tmpl w:val="4290EC60"/>
    <w:lvl w:ilvl="0" w:tplc="DDE4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E4B88"/>
    <w:multiLevelType w:val="hybridMultilevel"/>
    <w:tmpl w:val="E9F4B8B4"/>
    <w:lvl w:ilvl="0" w:tplc="DDE4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E40C3"/>
    <w:multiLevelType w:val="hybridMultilevel"/>
    <w:tmpl w:val="71BA8DA8"/>
    <w:lvl w:ilvl="0" w:tplc="DDE4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876BF"/>
    <w:multiLevelType w:val="hybridMultilevel"/>
    <w:tmpl w:val="C388C9B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A360F0"/>
    <w:multiLevelType w:val="hybridMultilevel"/>
    <w:tmpl w:val="ABCE9E08"/>
    <w:lvl w:ilvl="0" w:tplc="6610F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224DA"/>
    <w:multiLevelType w:val="hybridMultilevel"/>
    <w:tmpl w:val="1326003E"/>
    <w:lvl w:ilvl="0" w:tplc="937EF1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136A0"/>
    <w:multiLevelType w:val="hybridMultilevel"/>
    <w:tmpl w:val="9DECEA8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ABC200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93256"/>
    <w:multiLevelType w:val="hybridMultilevel"/>
    <w:tmpl w:val="D0FABD2E"/>
    <w:lvl w:ilvl="0" w:tplc="937EF1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72122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F072C"/>
    <w:multiLevelType w:val="hybridMultilevel"/>
    <w:tmpl w:val="CCEC2B2C"/>
    <w:lvl w:ilvl="0" w:tplc="0024AB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32DA0"/>
    <w:multiLevelType w:val="hybridMultilevel"/>
    <w:tmpl w:val="B7FA87D2"/>
    <w:lvl w:ilvl="0" w:tplc="DDE4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314FD"/>
    <w:multiLevelType w:val="hybridMultilevel"/>
    <w:tmpl w:val="A80A088E"/>
    <w:lvl w:ilvl="0" w:tplc="DDE4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C2166"/>
    <w:multiLevelType w:val="hybridMultilevel"/>
    <w:tmpl w:val="FBD814FE"/>
    <w:lvl w:ilvl="0" w:tplc="B974354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D6A57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0EEB5D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1B2E3D2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B040F3E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D9AADFE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5A88979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678028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3498041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24C5043"/>
    <w:multiLevelType w:val="hybridMultilevel"/>
    <w:tmpl w:val="DDE423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434AA"/>
    <w:multiLevelType w:val="hybridMultilevel"/>
    <w:tmpl w:val="2014F8C2"/>
    <w:lvl w:ilvl="0" w:tplc="DDE4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7"/>
  </w:num>
  <w:num w:numId="5">
    <w:abstractNumId w:val="15"/>
  </w:num>
  <w:num w:numId="6">
    <w:abstractNumId w:val="3"/>
  </w:num>
  <w:num w:numId="7">
    <w:abstractNumId w:val="16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  <w:num w:numId="12">
    <w:abstractNumId w:val="12"/>
  </w:num>
  <w:num w:numId="13">
    <w:abstractNumId w:val="11"/>
  </w:num>
  <w:num w:numId="14">
    <w:abstractNumId w:val="13"/>
  </w:num>
  <w:num w:numId="15">
    <w:abstractNumId w:val="2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52"/>
    <w:rsid w:val="000F34B8"/>
    <w:rsid w:val="00126018"/>
    <w:rsid w:val="001529D5"/>
    <w:rsid w:val="00247D8B"/>
    <w:rsid w:val="00252EBB"/>
    <w:rsid w:val="00271236"/>
    <w:rsid w:val="00272558"/>
    <w:rsid w:val="002809DD"/>
    <w:rsid w:val="002D0B34"/>
    <w:rsid w:val="003C340D"/>
    <w:rsid w:val="00411BFF"/>
    <w:rsid w:val="00514636"/>
    <w:rsid w:val="00525F63"/>
    <w:rsid w:val="00554D7F"/>
    <w:rsid w:val="005E3629"/>
    <w:rsid w:val="00624052"/>
    <w:rsid w:val="007B4D40"/>
    <w:rsid w:val="0085217C"/>
    <w:rsid w:val="00854708"/>
    <w:rsid w:val="008836DA"/>
    <w:rsid w:val="00897EFF"/>
    <w:rsid w:val="0093046A"/>
    <w:rsid w:val="009601C4"/>
    <w:rsid w:val="009719AE"/>
    <w:rsid w:val="00990D4A"/>
    <w:rsid w:val="009B6C34"/>
    <w:rsid w:val="00A02B02"/>
    <w:rsid w:val="00AC1617"/>
    <w:rsid w:val="00AC25FE"/>
    <w:rsid w:val="00AD5F9C"/>
    <w:rsid w:val="00B00B63"/>
    <w:rsid w:val="00B50823"/>
    <w:rsid w:val="00B90FD3"/>
    <w:rsid w:val="00BC07AA"/>
    <w:rsid w:val="00C01215"/>
    <w:rsid w:val="00D35C48"/>
    <w:rsid w:val="00D90242"/>
    <w:rsid w:val="00D947EE"/>
    <w:rsid w:val="00E524FD"/>
    <w:rsid w:val="00E676F5"/>
    <w:rsid w:val="00F8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A54D"/>
  <w15:docId w15:val="{BD6A0E5A-2689-437B-A93E-5489760D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D7F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2809DD"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9DD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09DD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ListBullet">
    <w:name w:val="List Bullet"/>
    <w:basedOn w:val="Normal"/>
    <w:uiPriority w:val="99"/>
    <w:unhideWhenUsed/>
    <w:rsid w:val="0093046A"/>
    <w:pPr>
      <w:numPr>
        <w:numId w:val="3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2809DD"/>
    <w:rPr>
      <w:rFonts w:ascii="Calibri" w:eastAsiaTheme="majorEastAsia" w:hAnsi="Calibri" w:cstheme="majorBidi"/>
      <w:b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2809DD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9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9A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D5F9C"/>
    <w:pPr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D5F9C"/>
    <w:rPr>
      <w:rFonts w:eastAsiaTheme="majorEastAsia" w:cstheme="minorHAnsi"/>
      <w:b/>
      <w:bCs/>
      <w:spacing w:val="-10"/>
      <w:kern w:val="28"/>
      <w:sz w:val="24"/>
      <w:szCs w:val="24"/>
    </w:rPr>
  </w:style>
  <w:style w:type="paragraph" w:styleId="NoSpacing">
    <w:name w:val="No Spacing"/>
    <w:uiPriority w:val="1"/>
    <w:qFormat/>
    <w:rsid w:val="00AC25F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-services.cost.eu/gran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st.eu/Annotated_Rules_for_COST_Actions_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st.eu/uploads/2021/10/Annex-II-level-A-Glossary-REVISION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st.eu/actions/CA20133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st.eu/uploads/2021/07/COST-088-21-Level-A-Rules-and-Principles-for-COST-Activities.pdf" TargetMode="External"/><Relationship Id="rId10" Type="http://schemas.openxmlformats.org/officeDocument/2006/relationships/hyperlink" Target="https://www.cost.eu/actions/CA20133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ost.eu/uploads/2021/10/Annex-II-level-A-Glossary-REVISION.pdf" TargetMode="External"/><Relationship Id="rId14" Type="http://schemas.openxmlformats.org/officeDocument/2006/relationships/hyperlink" Target="https://e-services.cost.eu/activity/grants/add?type=D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2FAC0B6F9134EB4309216569C225D" ma:contentTypeVersion="14" ma:contentTypeDescription="Een nieuw document maken." ma:contentTypeScope="" ma:versionID="d3a3e70a21ef53e515c727c7bc0939ae">
  <xsd:schema xmlns:xsd="http://www.w3.org/2001/XMLSchema" xmlns:xs="http://www.w3.org/2001/XMLSchema" xmlns:p="http://schemas.microsoft.com/office/2006/metadata/properties" xmlns:ns3="fd0e25e6-6b14-44aa-a40c-18592754e9c3" xmlns:ns4="7c14ea8c-6f87-4b87-90cd-9bf1170860c3" targetNamespace="http://schemas.microsoft.com/office/2006/metadata/properties" ma:root="true" ma:fieldsID="638dfdaae3d05991626320a1cd59c881" ns3:_="" ns4:_="">
    <xsd:import namespace="fd0e25e6-6b14-44aa-a40c-18592754e9c3"/>
    <xsd:import namespace="7c14ea8c-6f87-4b87-90cd-9bf1170860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25e6-6b14-44aa-a40c-18592754e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4ea8c-6f87-4b87-90cd-9bf1170860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F46FB-6436-47BA-A701-8C837C4BCE9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c14ea8c-6f87-4b87-90cd-9bf1170860c3"/>
    <ds:schemaRef ds:uri="fd0e25e6-6b14-44aa-a40c-18592754e9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5FF6A3-D46E-49F8-9343-D2A0317E2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4B469-61F3-47A4-A025-09F6A0506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25e6-6b14-44aa-a40c-18592754e9c3"/>
    <ds:schemaRef ds:uri="7c14ea8c-6f87-4b87-90cd-9bf117086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1198</Words>
  <Characters>6593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Pastor Nunes</dc:creator>
  <cp:lastModifiedBy>Jos Sterckx</cp:lastModifiedBy>
  <cp:revision>5</cp:revision>
  <dcterms:created xsi:type="dcterms:W3CDTF">2022-12-06T15:18:00Z</dcterms:created>
  <dcterms:modified xsi:type="dcterms:W3CDTF">2022-12-06T15:47:00Z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0x01010037E2FAC0B6F9134EB4309216569C225D</vt:lpwstr>
  </property>
</Properties>
</file>